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484D1" w14:textId="3D12C732" w:rsidR="003A217F" w:rsidRPr="00B14D15" w:rsidRDefault="003A217F" w:rsidP="004D5362">
      <w:pPr>
        <w:spacing w:after="120" w:line="280" w:lineRule="atLeast"/>
        <w:jc w:val="center"/>
        <w:rPr>
          <w:rFonts w:ascii="Arial" w:hAnsi="Arial" w:cs="Arial"/>
          <w:b/>
          <w:sz w:val="28"/>
          <w:szCs w:val="20"/>
        </w:rPr>
      </w:pPr>
      <w:bookmarkStart w:id="0" w:name="_GoBack"/>
      <w:bookmarkEnd w:id="0"/>
      <w:r w:rsidRPr="00B14D15">
        <w:rPr>
          <w:rFonts w:ascii="Arial" w:hAnsi="Arial" w:cs="Arial"/>
          <w:b/>
          <w:sz w:val="28"/>
          <w:szCs w:val="20"/>
        </w:rPr>
        <w:t xml:space="preserve">ČEPRO </w:t>
      </w:r>
      <w:r w:rsidR="00281A2F" w:rsidRPr="00B14D15">
        <w:rPr>
          <w:rFonts w:ascii="Arial" w:hAnsi="Arial" w:cs="Arial"/>
          <w:b/>
          <w:sz w:val="28"/>
          <w:szCs w:val="20"/>
        </w:rPr>
        <w:t>rozšiřuje</w:t>
      </w:r>
      <w:r w:rsidRPr="00B14D15">
        <w:rPr>
          <w:rFonts w:ascii="Arial" w:hAnsi="Arial" w:cs="Arial"/>
          <w:b/>
          <w:sz w:val="28"/>
          <w:szCs w:val="20"/>
        </w:rPr>
        <w:t xml:space="preserve"> své dodavatelské programy</w:t>
      </w:r>
    </w:p>
    <w:p w14:paraId="0FF83067" w14:textId="77777777" w:rsidR="003A217F" w:rsidRPr="008C2FA1" w:rsidRDefault="003A217F" w:rsidP="003A217F">
      <w:pPr>
        <w:spacing w:line="280" w:lineRule="atLeast"/>
        <w:jc w:val="center"/>
        <w:rPr>
          <w:rFonts w:ascii="Arial" w:hAnsi="Arial" w:cs="Arial"/>
          <w:szCs w:val="20"/>
        </w:rPr>
      </w:pPr>
      <w:r w:rsidRPr="00B14D15">
        <w:rPr>
          <w:rFonts w:ascii="Arial" w:hAnsi="Arial" w:cs="Arial"/>
          <w:b/>
          <w:szCs w:val="20"/>
        </w:rPr>
        <w:t>Přichází s novým transparentním systémem</w:t>
      </w:r>
      <w:r>
        <w:rPr>
          <w:rFonts w:ascii="Arial" w:hAnsi="Arial" w:cs="Arial"/>
          <w:b/>
          <w:szCs w:val="20"/>
        </w:rPr>
        <w:t xml:space="preserve"> tvorby základní ceny</w:t>
      </w:r>
    </w:p>
    <w:p w14:paraId="3F65972A" w14:textId="3CB536F2" w:rsidR="003A217F" w:rsidRPr="00B14D15" w:rsidRDefault="003A217F" w:rsidP="003A217F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CB795F">
        <w:rPr>
          <w:rFonts w:ascii="Arial" w:hAnsi="Arial" w:cs="Arial"/>
          <w:sz w:val="20"/>
          <w:szCs w:val="20"/>
        </w:rPr>
        <w:t xml:space="preserve">PRAHA </w:t>
      </w:r>
      <w:proofErr w:type="gramStart"/>
      <w:r w:rsidR="00CB795F" w:rsidRPr="00CB795F">
        <w:rPr>
          <w:rFonts w:ascii="Arial" w:hAnsi="Arial" w:cs="Arial"/>
          <w:sz w:val="20"/>
          <w:szCs w:val="20"/>
        </w:rPr>
        <w:t>01.února</w:t>
      </w:r>
      <w:proofErr w:type="gramEnd"/>
      <w:r w:rsidR="00CB795F" w:rsidRPr="00CB795F">
        <w:rPr>
          <w:rFonts w:ascii="Arial" w:hAnsi="Arial" w:cs="Arial"/>
          <w:sz w:val="20"/>
          <w:szCs w:val="20"/>
        </w:rPr>
        <w:t xml:space="preserve"> </w:t>
      </w:r>
      <w:r w:rsidRPr="00CB795F">
        <w:rPr>
          <w:rFonts w:ascii="Arial" w:hAnsi="Arial" w:cs="Arial"/>
          <w:sz w:val="20"/>
          <w:szCs w:val="20"/>
        </w:rPr>
        <w:t>2019</w:t>
      </w:r>
      <w:r w:rsidRPr="00544957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4957">
        <w:rPr>
          <w:rFonts w:ascii="Arial" w:hAnsi="Arial" w:cs="Arial"/>
          <w:b/>
          <w:sz w:val="20"/>
          <w:szCs w:val="20"/>
        </w:rPr>
        <w:t xml:space="preserve">Společnost ČEPRO </w:t>
      </w:r>
      <w:r w:rsidR="00B14D15">
        <w:rPr>
          <w:rFonts w:ascii="Arial" w:hAnsi="Arial" w:cs="Arial"/>
          <w:b/>
          <w:sz w:val="20"/>
          <w:szCs w:val="20"/>
        </w:rPr>
        <w:t xml:space="preserve">rozšiřuje </w:t>
      </w:r>
      <w:r>
        <w:rPr>
          <w:rFonts w:ascii="Arial" w:hAnsi="Arial" w:cs="Arial"/>
          <w:b/>
          <w:sz w:val="20"/>
          <w:szCs w:val="20"/>
        </w:rPr>
        <w:t xml:space="preserve">své dodavatelské programy </w:t>
      </w:r>
      <w:r w:rsidR="008F7B85">
        <w:rPr>
          <w:rFonts w:ascii="Arial" w:hAnsi="Arial" w:cs="Arial"/>
          <w:b/>
          <w:sz w:val="20"/>
          <w:szCs w:val="20"/>
        </w:rPr>
        <w:t xml:space="preserve">a možnosti obchodní spolupráce 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Pr="00544957">
        <w:rPr>
          <w:rFonts w:ascii="Arial" w:hAnsi="Arial" w:cs="Arial"/>
          <w:b/>
          <w:sz w:val="20"/>
          <w:szCs w:val="20"/>
        </w:rPr>
        <w:t xml:space="preserve">od 1. února 2019 </w:t>
      </w:r>
      <w:r w:rsidR="00B22A22" w:rsidRPr="00B14D15">
        <w:rPr>
          <w:rFonts w:ascii="Arial" w:hAnsi="Arial" w:cs="Arial"/>
          <w:b/>
          <w:sz w:val="20"/>
          <w:szCs w:val="20"/>
        </w:rPr>
        <w:t>doplňuje nabídku cenových konstrukcí pro zákazníky o</w:t>
      </w:r>
      <w:r w:rsidRPr="00B14D15">
        <w:rPr>
          <w:rFonts w:ascii="Arial" w:hAnsi="Arial" w:cs="Arial"/>
          <w:b/>
          <w:sz w:val="20"/>
          <w:szCs w:val="20"/>
        </w:rPr>
        <w:t xml:space="preserve"> nový systém tvorby základních cen pohonných hmot</w:t>
      </w:r>
      <w:r w:rsidR="008F7B85" w:rsidRPr="00B14D15">
        <w:rPr>
          <w:rFonts w:ascii="Arial" w:hAnsi="Arial" w:cs="Arial"/>
          <w:b/>
          <w:sz w:val="20"/>
          <w:szCs w:val="20"/>
        </w:rPr>
        <w:t>. Ten</w:t>
      </w:r>
      <w:r w:rsidRPr="00B14D15">
        <w:rPr>
          <w:rFonts w:ascii="Arial" w:hAnsi="Arial" w:cs="Arial"/>
          <w:b/>
          <w:sz w:val="20"/>
          <w:szCs w:val="20"/>
        </w:rPr>
        <w:t xml:space="preserve"> bude dynamicky reagovat na vývoj trh</w:t>
      </w:r>
      <w:r w:rsidR="00101C07" w:rsidRPr="00B14D15">
        <w:rPr>
          <w:rFonts w:ascii="Arial" w:hAnsi="Arial" w:cs="Arial"/>
          <w:b/>
          <w:sz w:val="20"/>
          <w:szCs w:val="20"/>
        </w:rPr>
        <w:t>u</w:t>
      </w:r>
      <w:r w:rsidRPr="00B14D15">
        <w:rPr>
          <w:rFonts w:ascii="Arial" w:hAnsi="Arial" w:cs="Arial"/>
          <w:b/>
          <w:sz w:val="20"/>
          <w:szCs w:val="20"/>
        </w:rPr>
        <w:t xml:space="preserve"> a</w:t>
      </w:r>
      <w:r w:rsidR="008F7B85" w:rsidRPr="00B14D15">
        <w:rPr>
          <w:rFonts w:ascii="Arial" w:hAnsi="Arial" w:cs="Arial"/>
          <w:b/>
          <w:sz w:val="20"/>
          <w:szCs w:val="20"/>
        </w:rPr>
        <w:t> </w:t>
      </w:r>
      <w:r w:rsidRPr="00B14D15">
        <w:rPr>
          <w:rFonts w:ascii="Arial" w:hAnsi="Arial" w:cs="Arial"/>
          <w:b/>
          <w:sz w:val="20"/>
          <w:szCs w:val="20"/>
        </w:rPr>
        <w:t xml:space="preserve">zohledňovat specifika tuzemského prostředí. Nový systém přinese větší transparentnost a zákazníkům </w:t>
      </w:r>
      <w:r w:rsidR="008F7B85" w:rsidRPr="00B14D15">
        <w:rPr>
          <w:rFonts w:ascii="Arial" w:hAnsi="Arial" w:cs="Arial"/>
          <w:b/>
          <w:sz w:val="20"/>
          <w:szCs w:val="20"/>
        </w:rPr>
        <w:t xml:space="preserve">objektivně stanovené </w:t>
      </w:r>
      <w:r w:rsidRPr="00B14D15">
        <w:rPr>
          <w:rFonts w:ascii="Arial" w:hAnsi="Arial" w:cs="Arial"/>
          <w:b/>
          <w:sz w:val="20"/>
          <w:szCs w:val="20"/>
        </w:rPr>
        <w:t>výhodné ceny.</w:t>
      </w:r>
    </w:p>
    <w:p w14:paraId="3765057E" w14:textId="0FD6D71C" w:rsidR="003A217F" w:rsidRPr="00B14D15" w:rsidRDefault="003A217F" w:rsidP="003A217F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B14D15">
        <w:rPr>
          <w:rFonts w:ascii="Arial" w:hAnsi="Arial" w:cs="Arial"/>
          <w:sz w:val="20"/>
          <w:szCs w:val="20"/>
        </w:rPr>
        <w:t>ČEPRO každoročně optimalizuje nastavení cenotvorby</w:t>
      </w:r>
      <w:r w:rsidR="008F7B85" w:rsidRPr="00B14D15">
        <w:rPr>
          <w:rFonts w:ascii="Arial" w:hAnsi="Arial" w:cs="Arial"/>
          <w:sz w:val="20"/>
          <w:szCs w:val="20"/>
        </w:rPr>
        <w:t>, kterou</w:t>
      </w:r>
      <w:r w:rsidRPr="00B14D15">
        <w:rPr>
          <w:rFonts w:ascii="Arial" w:hAnsi="Arial" w:cs="Arial"/>
          <w:sz w:val="20"/>
          <w:szCs w:val="20"/>
        </w:rPr>
        <w:t xml:space="preserve"> v letošním roce </w:t>
      </w:r>
      <w:r w:rsidR="008F7B85" w:rsidRPr="00B14D15">
        <w:rPr>
          <w:rFonts w:ascii="Arial" w:hAnsi="Arial" w:cs="Arial"/>
          <w:sz w:val="20"/>
          <w:szCs w:val="20"/>
        </w:rPr>
        <w:t xml:space="preserve">rozšiřuje o </w:t>
      </w:r>
      <w:r w:rsidRPr="00B14D15">
        <w:rPr>
          <w:rFonts w:ascii="Arial" w:hAnsi="Arial" w:cs="Arial"/>
          <w:sz w:val="20"/>
          <w:szCs w:val="20"/>
        </w:rPr>
        <w:t>nový systém tvorby základní ceny</w:t>
      </w:r>
      <w:r w:rsidR="008F7B85" w:rsidRPr="00B14D15">
        <w:rPr>
          <w:rFonts w:ascii="Arial" w:hAnsi="Arial" w:cs="Arial"/>
          <w:sz w:val="20"/>
          <w:szCs w:val="20"/>
        </w:rPr>
        <w:t xml:space="preserve"> – tzv. Základní Cena ČEPRO (ZCČ)</w:t>
      </w:r>
      <w:r w:rsidRPr="00B14D15">
        <w:rPr>
          <w:rFonts w:ascii="Arial" w:hAnsi="Arial" w:cs="Arial"/>
          <w:sz w:val="20"/>
          <w:szCs w:val="20"/>
        </w:rPr>
        <w:t>.</w:t>
      </w:r>
      <w:r w:rsidRPr="00B14D15">
        <w:rPr>
          <w:rFonts w:ascii="Arial" w:hAnsi="Arial" w:cs="Arial"/>
          <w:b/>
          <w:sz w:val="20"/>
          <w:szCs w:val="20"/>
        </w:rPr>
        <w:t xml:space="preserve"> </w:t>
      </w:r>
      <w:r w:rsidRPr="00B14D15">
        <w:rPr>
          <w:rFonts w:ascii="Arial" w:hAnsi="Arial" w:cs="Arial"/>
          <w:sz w:val="20"/>
          <w:szCs w:val="20"/>
        </w:rPr>
        <w:t>„</w:t>
      </w:r>
      <w:r w:rsidRPr="00B14D15">
        <w:rPr>
          <w:rFonts w:ascii="Arial" w:hAnsi="Arial" w:cs="Arial"/>
          <w:i/>
          <w:sz w:val="20"/>
          <w:szCs w:val="20"/>
        </w:rPr>
        <w:t xml:space="preserve">Trh s pohonnými </w:t>
      </w:r>
      <w:r w:rsidR="008F7B85" w:rsidRPr="00B14D15">
        <w:rPr>
          <w:rFonts w:ascii="Arial" w:hAnsi="Arial" w:cs="Arial"/>
          <w:i/>
          <w:sz w:val="20"/>
          <w:szCs w:val="20"/>
        </w:rPr>
        <w:t xml:space="preserve">hmotami </w:t>
      </w:r>
      <w:r w:rsidRPr="00B14D15">
        <w:rPr>
          <w:rFonts w:ascii="Arial" w:hAnsi="Arial" w:cs="Arial"/>
          <w:i/>
          <w:sz w:val="20"/>
          <w:szCs w:val="20"/>
        </w:rPr>
        <w:t>se stále velmi dynamicky mění a vyvíjí, a proto jsme v rámci rozšíření a zlepšení naší nabídky služeb připravili nový transparentní systém cenotvorby, který bude pružně reagovat na reálný vývoj cen velkoobchodního trhu v České republice. Naším cílem přitom i nadále zůstává vždy nabídnout zákazníkům nejvýhodnější cenu,</w:t>
      </w:r>
      <w:r w:rsidRPr="00B14D15">
        <w:rPr>
          <w:rFonts w:ascii="Arial" w:hAnsi="Arial" w:cs="Arial"/>
          <w:sz w:val="20"/>
          <w:szCs w:val="20"/>
        </w:rPr>
        <w:t xml:space="preserve">“ </w:t>
      </w:r>
      <w:r w:rsidR="008F7B85" w:rsidRPr="00B14D15">
        <w:rPr>
          <w:rFonts w:ascii="Arial" w:hAnsi="Arial" w:cs="Arial"/>
          <w:sz w:val="20"/>
          <w:szCs w:val="20"/>
        </w:rPr>
        <w:t xml:space="preserve">uvádí </w:t>
      </w:r>
      <w:r w:rsidRPr="00B14D15">
        <w:rPr>
          <w:rFonts w:ascii="Arial" w:hAnsi="Arial" w:cs="Arial"/>
          <w:sz w:val="20"/>
          <w:szCs w:val="20"/>
        </w:rPr>
        <w:t>Jan Duspěva, předseda představenstva společnosti ČEPRO.</w:t>
      </w:r>
    </w:p>
    <w:p w14:paraId="5C129B61" w14:textId="44C612C0" w:rsidR="005A38DD" w:rsidRPr="00B14D15" w:rsidRDefault="003A217F" w:rsidP="003A217F">
      <w:pPr>
        <w:spacing w:before="100" w:beforeAutospacing="1" w:after="100" w:afterAutospacing="1"/>
        <w:jc w:val="both"/>
        <w:rPr>
          <w:rFonts w:ascii="Arial" w:hAnsi="Arial" w:cs="Arial"/>
          <w:i/>
          <w:sz w:val="20"/>
          <w:szCs w:val="20"/>
        </w:rPr>
      </w:pPr>
      <w:r w:rsidRPr="00B14D15">
        <w:rPr>
          <w:rFonts w:ascii="Arial" w:hAnsi="Arial" w:cs="Arial"/>
          <w:sz w:val="20"/>
          <w:szCs w:val="20"/>
        </w:rPr>
        <w:t xml:space="preserve">Základní </w:t>
      </w:r>
      <w:r w:rsidR="000F458C" w:rsidRPr="00B14D15">
        <w:rPr>
          <w:rFonts w:ascii="Arial" w:hAnsi="Arial" w:cs="Arial"/>
          <w:sz w:val="20"/>
          <w:szCs w:val="20"/>
        </w:rPr>
        <w:t xml:space="preserve">Cena ČEPRO </w:t>
      </w:r>
      <w:r w:rsidRPr="00B14D15">
        <w:rPr>
          <w:rFonts w:ascii="Arial" w:hAnsi="Arial" w:cs="Arial"/>
          <w:sz w:val="20"/>
          <w:szCs w:val="20"/>
        </w:rPr>
        <w:t xml:space="preserve">– ZCČ, je nový druh cenotvorby, který zohledňuje podstatné položky ovlivňující cenu na trhu s pohonnými </w:t>
      </w:r>
      <w:r w:rsidR="002E1256" w:rsidRPr="00B14D15">
        <w:rPr>
          <w:rFonts w:ascii="Arial" w:hAnsi="Arial" w:cs="Arial"/>
          <w:sz w:val="20"/>
          <w:szCs w:val="20"/>
        </w:rPr>
        <w:t>hmotami</w:t>
      </w:r>
      <w:r w:rsidRPr="00B14D15">
        <w:rPr>
          <w:rFonts w:ascii="Arial" w:hAnsi="Arial" w:cs="Arial"/>
          <w:sz w:val="20"/>
          <w:szCs w:val="20"/>
        </w:rPr>
        <w:t>, jako jsou např. aktuální nabídka/poptávka, nákupní ceny od různých dodavatelů, reálná cena biosložky apod. „</w:t>
      </w:r>
      <w:r w:rsidRPr="00B14D15">
        <w:rPr>
          <w:rFonts w:ascii="Arial" w:hAnsi="Arial" w:cs="Arial"/>
          <w:i/>
          <w:sz w:val="20"/>
          <w:szCs w:val="20"/>
        </w:rPr>
        <w:t xml:space="preserve">Tento druh cenotvorby je určený zejména pro zákazníky s odběrem kumulativně do 500 tis. litrů měsíčně. Základním pravidlem nové cenotvorby společnosti ČEPRO je konečná nákupní cena pro zákazníka, která přímo zohledňuje jeho celkový měsíční odběr pohonných </w:t>
      </w:r>
      <w:r w:rsidR="009C7986" w:rsidRPr="00B14D15">
        <w:rPr>
          <w:rFonts w:ascii="Arial" w:hAnsi="Arial" w:cs="Arial"/>
          <w:i/>
          <w:sz w:val="20"/>
          <w:szCs w:val="20"/>
        </w:rPr>
        <w:t>hmot</w:t>
      </w:r>
      <w:r w:rsidRPr="00B14D15">
        <w:rPr>
          <w:rFonts w:ascii="Arial" w:hAnsi="Arial" w:cs="Arial"/>
          <w:i/>
          <w:sz w:val="20"/>
          <w:szCs w:val="20"/>
        </w:rPr>
        <w:t>. Na jeho základě má zákazník možnost nakupovat za základní cenu ČEPRO, s předem definovanou slevou</w:t>
      </w:r>
      <w:r w:rsidR="005A38DD" w:rsidRPr="00B14D15">
        <w:rPr>
          <w:rFonts w:ascii="Arial" w:hAnsi="Arial" w:cs="Arial"/>
          <w:i/>
          <w:sz w:val="20"/>
          <w:szCs w:val="20"/>
        </w:rPr>
        <w:t>,</w:t>
      </w:r>
      <w:r w:rsidR="005A38DD" w:rsidRPr="00B14D15">
        <w:rPr>
          <w:rFonts w:ascii="Arial" w:hAnsi="Arial" w:cs="Arial"/>
          <w:sz w:val="20"/>
          <w:szCs w:val="20"/>
        </w:rPr>
        <w:t>“ vysvětluje Martin Vojtíšek, obchodní ředitel společnosti ČEPRO.</w:t>
      </w:r>
    </w:p>
    <w:p w14:paraId="78A8DDA1" w14:textId="4DBBEDC5" w:rsidR="003A217F" w:rsidRPr="00B14D15" w:rsidRDefault="003A217F" w:rsidP="003A217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14D15">
        <w:rPr>
          <w:rFonts w:ascii="Arial" w:hAnsi="Arial" w:cs="Arial"/>
          <w:sz w:val="20"/>
          <w:szCs w:val="20"/>
        </w:rPr>
        <w:t xml:space="preserve">Zákazníci budou moci každodenně </w:t>
      </w:r>
      <w:r w:rsidR="003A2E31" w:rsidRPr="00B14D15">
        <w:rPr>
          <w:rFonts w:ascii="Arial" w:hAnsi="Arial" w:cs="Arial"/>
          <w:sz w:val="20"/>
          <w:szCs w:val="20"/>
        </w:rPr>
        <w:t xml:space="preserve">(s výjimkou neděle a svátků) </w:t>
      </w:r>
      <w:r w:rsidRPr="00B14D15">
        <w:rPr>
          <w:rFonts w:ascii="Arial" w:hAnsi="Arial" w:cs="Arial"/>
          <w:sz w:val="20"/>
          <w:szCs w:val="20"/>
        </w:rPr>
        <w:t>vyhlašovanou cenu sledovat na internetových stránkách společnosti ČEPRO, kde najdou i přehledně zpracovanou historii a</w:t>
      </w:r>
      <w:r w:rsidR="007D4EC6" w:rsidRPr="00B14D15">
        <w:rPr>
          <w:rFonts w:ascii="Arial" w:hAnsi="Arial" w:cs="Arial"/>
          <w:sz w:val="20"/>
          <w:szCs w:val="20"/>
        </w:rPr>
        <w:t> </w:t>
      </w:r>
      <w:r w:rsidRPr="00B14D15">
        <w:rPr>
          <w:rFonts w:ascii="Arial" w:hAnsi="Arial" w:cs="Arial"/>
          <w:sz w:val="20"/>
          <w:szCs w:val="20"/>
        </w:rPr>
        <w:t xml:space="preserve">vývoj cen pohonných hmot. Pro zákazníky je pak na webu k dispozici </w:t>
      </w:r>
      <w:r w:rsidR="003A2E31" w:rsidRPr="00B14D15">
        <w:rPr>
          <w:rFonts w:ascii="Arial" w:hAnsi="Arial" w:cs="Arial"/>
          <w:sz w:val="20"/>
          <w:szCs w:val="20"/>
        </w:rPr>
        <w:t>také</w:t>
      </w:r>
      <w:r w:rsidRPr="00B14D15">
        <w:rPr>
          <w:rFonts w:ascii="Arial" w:hAnsi="Arial" w:cs="Arial"/>
          <w:sz w:val="20"/>
          <w:szCs w:val="20"/>
        </w:rPr>
        <w:t xml:space="preserve"> kalkulátor slev. „</w:t>
      </w:r>
      <w:r w:rsidRPr="00B14D15">
        <w:rPr>
          <w:rFonts w:ascii="Arial" w:hAnsi="Arial" w:cs="Arial"/>
          <w:i/>
          <w:sz w:val="20"/>
          <w:szCs w:val="20"/>
        </w:rPr>
        <w:t xml:space="preserve">Veškeré údaje na našich stránkách jsou přístupné všem, </w:t>
      </w:r>
      <w:r w:rsidR="003A2E31" w:rsidRPr="00B14D15">
        <w:rPr>
          <w:rFonts w:ascii="Arial" w:hAnsi="Arial" w:cs="Arial"/>
          <w:i/>
          <w:sz w:val="20"/>
          <w:szCs w:val="20"/>
        </w:rPr>
        <w:t xml:space="preserve">a proto můžou </w:t>
      </w:r>
      <w:r w:rsidRPr="00B14D15">
        <w:rPr>
          <w:rFonts w:ascii="Arial" w:hAnsi="Arial" w:cs="Arial"/>
          <w:i/>
          <w:sz w:val="20"/>
          <w:szCs w:val="20"/>
        </w:rPr>
        <w:t>současně sloužit jako cenový index a napomoci zájemcům k lepší</w:t>
      </w:r>
      <w:r w:rsidR="003A2E31" w:rsidRPr="00B14D15">
        <w:rPr>
          <w:rFonts w:ascii="Arial" w:hAnsi="Arial" w:cs="Arial"/>
          <w:i/>
          <w:sz w:val="20"/>
          <w:szCs w:val="20"/>
        </w:rPr>
        <w:t xml:space="preserve"> orientaci</w:t>
      </w:r>
      <w:r w:rsidRPr="00B14D15">
        <w:rPr>
          <w:rFonts w:ascii="Arial" w:hAnsi="Arial" w:cs="Arial"/>
          <w:i/>
          <w:sz w:val="20"/>
          <w:szCs w:val="20"/>
        </w:rPr>
        <w:t xml:space="preserve"> na trhu s pohonnými hmotami,“ </w:t>
      </w:r>
      <w:r w:rsidRPr="00B14D15">
        <w:rPr>
          <w:rFonts w:ascii="Arial" w:hAnsi="Arial" w:cs="Arial"/>
          <w:sz w:val="20"/>
          <w:szCs w:val="20"/>
        </w:rPr>
        <w:t>doplňuje Duspěva.</w:t>
      </w:r>
    </w:p>
    <w:p w14:paraId="28C1613D" w14:textId="412FC344" w:rsidR="003A2E31" w:rsidRDefault="00FE51CB" w:rsidP="003A2E3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bookmarkStart w:id="1" w:name="_Hlk536008359"/>
      <w:r w:rsidRPr="00B14D15">
        <w:rPr>
          <w:rFonts w:ascii="Arial" w:hAnsi="Arial" w:cs="Arial"/>
          <w:sz w:val="20"/>
          <w:szCs w:val="20"/>
        </w:rPr>
        <w:t>„</w:t>
      </w:r>
      <w:r w:rsidR="003A217F" w:rsidRPr="00B14D15">
        <w:rPr>
          <w:rFonts w:ascii="Arial" w:hAnsi="Arial" w:cs="Arial"/>
          <w:i/>
          <w:sz w:val="20"/>
          <w:szCs w:val="20"/>
        </w:rPr>
        <w:t xml:space="preserve">Pro velkoobchodní zákazníky </w:t>
      </w:r>
      <w:r w:rsidR="00281A2F" w:rsidRPr="00B14D15">
        <w:rPr>
          <w:rFonts w:ascii="Arial" w:hAnsi="Arial" w:cs="Arial"/>
          <w:i/>
          <w:sz w:val="20"/>
          <w:szCs w:val="20"/>
        </w:rPr>
        <w:t>jsou stabilní součástí naší nabídky</w:t>
      </w:r>
      <w:r w:rsidR="003A217F" w:rsidRPr="00B14D15">
        <w:rPr>
          <w:rFonts w:ascii="Arial" w:hAnsi="Arial" w:cs="Arial"/>
          <w:i/>
          <w:sz w:val="20"/>
          <w:szCs w:val="20"/>
        </w:rPr>
        <w:t xml:space="preserve"> tři dodavatelské programy, </w:t>
      </w:r>
      <w:r w:rsidRPr="00B14D15">
        <w:rPr>
          <w:rFonts w:ascii="Arial" w:hAnsi="Arial" w:cs="Arial"/>
          <w:i/>
          <w:sz w:val="20"/>
          <w:szCs w:val="20"/>
        </w:rPr>
        <w:t>v jejichž rámci bude prodej pohonných hmot i nadále probíhat primárně na kontraktovaných cenách, které zohledňují vývoj kotací cen na Evropské burze,</w:t>
      </w:r>
      <w:r w:rsidRPr="00B14D15">
        <w:rPr>
          <w:rFonts w:ascii="Arial" w:hAnsi="Arial" w:cs="Arial"/>
          <w:sz w:val="20"/>
          <w:szCs w:val="20"/>
        </w:rPr>
        <w:t>“ komentuje</w:t>
      </w:r>
      <w:r w:rsidRPr="004D5362">
        <w:rPr>
          <w:rFonts w:ascii="Arial" w:hAnsi="Arial" w:cs="Arial"/>
          <w:sz w:val="20"/>
          <w:szCs w:val="20"/>
        </w:rPr>
        <w:t xml:space="preserve"> Vojtíšek.</w:t>
      </w:r>
      <w:r>
        <w:rPr>
          <w:rFonts w:ascii="Arial" w:hAnsi="Arial" w:cs="Arial"/>
          <w:sz w:val="20"/>
          <w:szCs w:val="20"/>
        </w:rPr>
        <w:t xml:space="preserve"> V současné době se jedná o prémiový </w:t>
      </w:r>
      <w:r w:rsidR="003A217F">
        <w:rPr>
          <w:rFonts w:ascii="Arial" w:hAnsi="Arial" w:cs="Arial"/>
          <w:sz w:val="20"/>
          <w:szCs w:val="20"/>
        </w:rPr>
        <w:t xml:space="preserve">„Certifikovaný velkoobchod </w:t>
      </w:r>
      <w:r w:rsidR="00666E16">
        <w:rPr>
          <w:rFonts w:ascii="Arial" w:hAnsi="Arial" w:cs="Arial"/>
          <w:sz w:val="20"/>
          <w:szCs w:val="20"/>
        </w:rPr>
        <w:t>ČEPRO</w:t>
      </w:r>
      <w:r w:rsidR="003A217F">
        <w:rPr>
          <w:rFonts w:ascii="Arial" w:hAnsi="Arial" w:cs="Arial"/>
          <w:sz w:val="20"/>
          <w:szCs w:val="20"/>
        </w:rPr>
        <w:t xml:space="preserve">“, „Logistický model </w:t>
      </w:r>
      <w:r w:rsidR="00666E16">
        <w:rPr>
          <w:rFonts w:ascii="Arial" w:hAnsi="Arial" w:cs="Arial"/>
          <w:sz w:val="20"/>
          <w:szCs w:val="20"/>
        </w:rPr>
        <w:t>ČEPRO</w:t>
      </w:r>
      <w:r w:rsidR="003A217F">
        <w:rPr>
          <w:rFonts w:ascii="Arial" w:hAnsi="Arial" w:cs="Arial"/>
          <w:sz w:val="20"/>
          <w:szCs w:val="20"/>
        </w:rPr>
        <w:t>“</w:t>
      </w:r>
      <w:r w:rsidRPr="00FE51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 program „Dodavatelská čerpací stanice ČEPRO“, které zákazníkům přinášejí nejen výhodné obchodní podmínky, ale také další systém benefitů. </w:t>
      </w:r>
    </w:p>
    <w:bookmarkEnd w:id="1"/>
    <w:p w14:paraId="18B0396B" w14:textId="77777777" w:rsidR="003E7455" w:rsidRDefault="003E7455" w:rsidP="004D5362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pro média:</w:t>
      </w:r>
    </w:p>
    <w:p w14:paraId="3BE15522" w14:textId="5DC15261" w:rsidR="009E2F18" w:rsidRDefault="00D42E4F" w:rsidP="009E2F18">
      <w:pPr>
        <w:autoSpaceDE w:val="0"/>
        <w:autoSpaceDN w:val="0"/>
        <w:adjustRightInd w:val="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Mgr. Linda Máchová</w:t>
      </w:r>
    </w:p>
    <w:p w14:paraId="4E8BD6DD" w14:textId="77777777" w:rsidR="009E2F18" w:rsidRDefault="009E2F18" w:rsidP="009E2F1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oddělení marketingu a komunikace</w:t>
      </w:r>
    </w:p>
    <w:p w14:paraId="65BEAA22" w14:textId="0B584F4D" w:rsidR="009E2F18" w:rsidRDefault="009E2F18" w:rsidP="004D5362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</w:t>
      </w:r>
      <w:r w:rsidR="00D42E4F">
        <w:rPr>
          <w:rFonts w:ascii="Arial" w:hAnsi="Arial" w:cs="Arial"/>
          <w:sz w:val="18"/>
          <w:szCs w:val="18"/>
        </w:rPr>
        <w:tab/>
      </w:r>
      <w:r w:rsidR="00D42E4F" w:rsidRPr="00D42E4F">
        <w:rPr>
          <w:rFonts w:ascii="Arial" w:hAnsi="Arial" w:cs="Arial"/>
          <w:sz w:val="18"/>
          <w:szCs w:val="18"/>
        </w:rPr>
        <w:t>+420 221 968 218</w:t>
      </w:r>
    </w:p>
    <w:p w14:paraId="5E91CFFD" w14:textId="272956BA" w:rsidR="009E2F18" w:rsidRDefault="009E2F18" w:rsidP="004D5362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B795F">
        <w:rPr>
          <w:rFonts w:ascii="Arial" w:hAnsi="Arial" w:cs="Arial"/>
          <w:sz w:val="18"/>
          <w:szCs w:val="18"/>
        </w:rPr>
        <w:t>GSM:</w:t>
      </w:r>
      <w:r w:rsidR="00D42E4F" w:rsidRPr="00CB795F">
        <w:rPr>
          <w:rFonts w:ascii="Arial" w:hAnsi="Arial" w:cs="Arial"/>
          <w:sz w:val="18"/>
          <w:szCs w:val="18"/>
        </w:rPr>
        <w:tab/>
      </w:r>
      <w:r w:rsidRPr="00CB795F">
        <w:rPr>
          <w:rFonts w:ascii="Arial" w:hAnsi="Arial" w:cs="Arial"/>
          <w:sz w:val="18"/>
          <w:szCs w:val="18"/>
        </w:rPr>
        <w:t>+420</w:t>
      </w:r>
      <w:r w:rsidR="00CB795F" w:rsidRPr="00CB795F">
        <w:rPr>
          <w:rFonts w:ascii="Arial" w:hAnsi="Arial" w:cs="Arial"/>
          <w:sz w:val="18"/>
          <w:szCs w:val="18"/>
        </w:rPr>
        <w:t> 724 917 887</w:t>
      </w:r>
    </w:p>
    <w:p w14:paraId="5DDDA9C8" w14:textId="68AB7609" w:rsidR="003E7455" w:rsidRDefault="00D65404" w:rsidP="003E745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hyperlink r:id="rId8" w:history="1">
        <w:r w:rsidR="00D42E4F" w:rsidRPr="008F04EE">
          <w:rPr>
            <w:rStyle w:val="Hypertextovodkaz"/>
            <w:rFonts w:ascii="Arial" w:hAnsi="Arial" w:cs="Arial"/>
            <w:sz w:val="18"/>
            <w:szCs w:val="18"/>
          </w:rPr>
          <w:t>linda.machova@ceproas.cz</w:t>
        </w:r>
      </w:hyperlink>
      <w:r w:rsidR="00D42E4F">
        <w:rPr>
          <w:rFonts w:ascii="Arial" w:hAnsi="Arial" w:cs="Arial"/>
          <w:sz w:val="18"/>
          <w:szCs w:val="18"/>
        </w:rPr>
        <w:t xml:space="preserve"> </w:t>
      </w:r>
    </w:p>
    <w:p w14:paraId="1BC743C9" w14:textId="77777777" w:rsidR="003E7455" w:rsidRDefault="003E7455" w:rsidP="003E745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ABF9877" w14:textId="77777777" w:rsidR="00D42E4F" w:rsidRDefault="00D42E4F" w:rsidP="003E745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46803F99" w14:textId="1034B920" w:rsidR="003E7455" w:rsidRDefault="003E7455" w:rsidP="003E745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lastRenderedPageBreak/>
        <w:t>Informace pro editory:</w:t>
      </w:r>
    </w:p>
    <w:p w14:paraId="4114B8A8" w14:textId="41243235" w:rsidR="000F77F0" w:rsidRPr="00A275CA" w:rsidRDefault="003E7455" w:rsidP="00C8557C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Státní distributor paliv </w:t>
      </w:r>
      <w:r w:rsidR="00D42E4F">
        <w:rPr>
          <w:rFonts w:ascii="Arial" w:hAnsi="Arial" w:cs="Arial"/>
          <w:i/>
          <w:sz w:val="18"/>
          <w:szCs w:val="18"/>
        </w:rPr>
        <w:t>ČEPRO, a.s.</w:t>
      </w:r>
      <w:r>
        <w:rPr>
          <w:rFonts w:ascii="Arial" w:hAnsi="Arial" w:cs="Arial"/>
          <w:i/>
          <w:sz w:val="18"/>
          <w:szCs w:val="18"/>
        </w:rPr>
        <w:t xml:space="preserve">, je jedním z největších průmyslových podniků v České republice. </w:t>
      </w:r>
      <w:r w:rsidR="00D42E4F">
        <w:rPr>
          <w:rFonts w:ascii="Arial" w:hAnsi="Arial" w:cs="Arial"/>
          <w:i/>
          <w:sz w:val="18"/>
          <w:szCs w:val="18"/>
        </w:rPr>
        <w:t xml:space="preserve">ČEPRO </w:t>
      </w:r>
      <w:r>
        <w:rPr>
          <w:rFonts w:ascii="Arial" w:hAnsi="Arial" w:cs="Arial"/>
          <w:i/>
          <w:sz w:val="18"/>
          <w:szCs w:val="18"/>
        </w:rPr>
        <w:t>provozuje síť 1135 km produktovodů, k dispozici má 650 skladovacích nádrží, jejichž kapacita je 1,7</w:t>
      </w:r>
      <w:r w:rsidR="00CA1800">
        <w:rPr>
          <w:rFonts w:ascii="Arial" w:hAnsi="Arial" w:cs="Arial"/>
          <w:i/>
          <w:sz w:val="18"/>
          <w:szCs w:val="18"/>
        </w:rPr>
        <w:t>6 mil. m³. Společnosti náleží 200</w:t>
      </w:r>
      <w:r>
        <w:rPr>
          <w:rFonts w:ascii="Arial" w:hAnsi="Arial" w:cs="Arial"/>
          <w:i/>
          <w:sz w:val="18"/>
          <w:szCs w:val="18"/>
        </w:rPr>
        <w:t xml:space="preserve"> čerpacích stanic </w:t>
      </w:r>
      <w:proofErr w:type="spellStart"/>
      <w:r>
        <w:rPr>
          <w:rFonts w:ascii="Arial" w:hAnsi="Arial" w:cs="Arial"/>
          <w:i/>
          <w:sz w:val="18"/>
          <w:szCs w:val="18"/>
        </w:rPr>
        <w:t>EuroOil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po celé ČR, která je z hlediska počtu stanic třetí největší a z pohledu prodejů pohonných hmot čtvrtá nejvýznamnější v ČR. Síť </w:t>
      </w:r>
      <w:proofErr w:type="spellStart"/>
      <w:r>
        <w:rPr>
          <w:rFonts w:ascii="Arial" w:hAnsi="Arial" w:cs="Arial"/>
          <w:i/>
          <w:sz w:val="18"/>
          <w:szCs w:val="18"/>
        </w:rPr>
        <w:t>EuroOil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je největší český distributor pohonných látek v České republice. Více viz: </w:t>
      </w:r>
      <w:hyperlink r:id="rId9" w:history="1">
        <w:r>
          <w:rPr>
            <w:rStyle w:val="Hypertextovodkaz"/>
            <w:rFonts w:ascii="Arial" w:hAnsi="Arial" w:cs="Arial"/>
            <w:i/>
            <w:sz w:val="18"/>
            <w:szCs w:val="18"/>
          </w:rPr>
          <w:t>www.ceproas.cz</w:t>
        </w:r>
      </w:hyperlink>
      <w:r w:rsidR="00B5434B">
        <w:rPr>
          <w:rFonts w:ascii="Arial" w:hAnsi="Arial" w:cs="Arial"/>
          <w:i/>
          <w:sz w:val="18"/>
          <w:szCs w:val="18"/>
        </w:rPr>
        <w:t>.</w:t>
      </w:r>
    </w:p>
    <w:sectPr w:rsidR="000F77F0" w:rsidRPr="00A275CA" w:rsidSect="00320FE7">
      <w:headerReference w:type="default" r:id="rId10"/>
      <w:headerReference w:type="first" r:id="rId11"/>
      <w:footerReference w:type="first" r:id="rId12"/>
      <w:pgSz w:w="11906" w:h="16838" w:code="9"/>
      <w:pgMar w:top="2836" w:right="1701" w:bottom="2157" w:left="1701" w:header="567" w:footer="96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6C44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6C44C2" w16cid:durableId="1FF2CA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70E27" w14:textId="77777777" w:rsidR="00D65404" w:rsidRDefault="00D65404">
      <w:r>
        <w:separator/>
      </w:r>
    </w:p>
  </w:endnote>
  <w:endnote w:type="continuationSeparator" w:id="0">
    <w:p w14:paraId="5E6A5549" w14:textId="77777777" w:rsidR="00D65404" w:rsidRDefault="00D6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F7C07" w14:textId="5A680692" w:rsidR="00EA1A85" w:rsidRDefault="00A34DA4">
    <w:pPr>
      <w:pStyle w:val="Zpat"/>
    </w:pPr>
    <w:r>
      <w:rPr>
        <w:noProof/>
        <w:sz w:val="20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1DD3E0D7" wp14:editId="1FE97631">
              <wp:simplePos x="0" y="0"/>
              <wp:positionH relativeFrom="margin">
                <wp:posOffset>-71755</wp:posOffset>
              </wp:positionH>
              <wp:positionV relativeFrom="line">
                <wp:posOffset>-318135</wp:posOffset>
              </wp:positionV>
              <wp:extent cx="5486400" cy="694055"/>
              <wp:effectExtent l="4445" t="0" r="0" b="0"/>
              <wp:wrapNone/>
              <wp:docPr id="6" name="Plátn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A6F6271" id="Plátno 6" o:spid="_x0000_s1026" editas="canvas" style="position:absolute;margin-left:-5.65pt;margin-top:-25.05pt;width:6in;height:54.65pt;z-index:251660288;mso-position-horizontal-relative:margin;mso-position-vertical-relative:line" coordsize="54864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xsci5eIAAAAKAQAADwAAAAAAAAAA&#10;AAAAAABuAwAAZHJzL2Rvd25yZXYueG1sUEsFBgAAAAAEAAQA8wAAAH0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4864;height:6940;visibility:visible;mso-wrap-style:square">
                <v:fill o:detectmouseclick="t"/>
                <v:path o:connecttype="none"/>
              </v:shape>
              <w10:wrap anchorx="margin" anchory="line"/>
            </v:group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64654E80" wp14:editId="07B2BFD3">
          <wp:simplePos x="0" y="0"/>
          <wp:positionH relativeFrom="margin">
            <wp:posOffset>0</wp:posOffset>
          </wp:positionH>
          <wp:positionV relativeFrom="page">
            <wp:posOffset>756285</wp:posOffset>
          </wp:positionV>
          <wp:extent cx="1981200" cy="647700"/>
          <wp:effectExtent l="0" t="0" r="0" b="0"/>
          <wp:wrapNone/>
          <wp:docPr id="2" name="obrázek 2" descr="Lo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AB4C7" w14:textId="77777777" w:rsidR="00D65404" w:rsidRDefault="00D65404">
      <w:r>
        <w:separator/>
      </w:r>
    </w:p>
  </w:footnote>
  <w:footnote w:type="continuationSeparator" w:id="0">
    <w:p w14:paraId="390E93F3" w14:textId="77777777" w:rsidR="00D65404" w:rsidRDefault="00D65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913DA" w14:textId="02BA26A8" w:rsidR="00EA1A85" w:rsidRDefault="00A34DA4">
    <w:pPr>
      <w:pStyle w:val="Zhlav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2C827F39" wp14:editId="5E912EB8">
          <wp:simplePos x="0" y="0"/>
          <wp:positionH relativeFrom="margin">
            <wp:posOffset>0</wp:posOffset>
          </wp:positionH>
          <wp:positionV relativeFrom="page">
            <wp:posOffset>756285</wp:posOffset>
          </wp:positionV>
          <wp:extent cx="1981200" cy="647700"/>
          <wp:effectExtent l="0" t="0" r="0" b="0"/>
          <wp:wrapNone/>
          <wp:docPr id="3" name="obrázek 3" descr="Lo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55769CD" wp14:editId="1C3ED221">
          <wp:simplePos x="0" y="0"/>
          <wp:positionH relativeFrom="margin">
            <wp:posOffset>4788535</wp:posOffset>
          </wp:positionH>
          <wp:positionV relativeFrom="page">
            <wp:posOffset>756285</wp:posOffset>
          </wp:positionV>
          <wp:extent cx="600075" cy="600075"/>
          <wp:effectExtent l="0" t="0" r="0" b="0"/>
          <wp:wrapNone/>
          <wp:docPr id="4" name="obrázek 4" descr="Log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E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19E14" w14:textId="4711D52C" w:rsidR="00EA1A85" w:rsidRDefault="00A34DA4">
    <w:pPr>
      <w:pStyle w:val="Zhlav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582AAE0" wp14:editId="21A160F8">
          <wp:simplePos x="0" y="0"/>
          <wp:positionH relativeFrom="margin">
            <wp:posOffset>4788535</wp:posOffset>
          </wp:positionH>
          <wp:positionV relativeFrom="page">
            <wp:posOffset>756285</wp:posOffset>
          </wp:positionV>
          <wp:extent cx="600075" cy="600075"/>
          <wp:effectExtent l="0" t="0" r="0" b="0"/>
          <wp:wrapNone/>
          <wp:docPr id="5" name="obrázek 5" descr="Log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E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0" locked="0" layoutInCell="1" allowOverlap="1" wp14:anchorId="20E21F34" wp14:editId="520E43F0">
          <wp:simplePos x="0" y="0"/>
          <wp:positionH relativeFrom="margin">
            <wp:posOffset>5688965</wp:posOffset>
          </wp:positionH>
          <wp:positionV relativeFrom="page">
            <wp:posOffset>1836420</wp:posOffset>
          </wp:positionV>
          <wp:extent cx="304800" cy="2343150"/>
          <wp:effectExtent l="0" t="0" r="0" b="0"/>
          <wp:wrapNone/>
          <wp:docPr id="1" name="obrázek 1" descr="Tit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T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34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460"/>
    <w:multiLevelType w:val="hybridMultilevel"/>
    <w:tmpl w:val="9F726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04F47"/>
    <w:multiLevelType w:val="hybridMultilevel"/>
    <w:tmpl w:val="3ED26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3762D"/>
    <w:multiLevelType w:val="hybridMultilevel"/>
    <w:tmpl w:val="21B445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1D06232"/>
    <w:multiLevelType w:val="hybridMultilevel"/>
    <w:tmpl w:val="A2EE2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177B9"/>
    <w:multiLevelType w:val="hybridMultilevel"/>
    <w:tmpl w:val="AECAF7C2"/>
    <w:lvl w:ilvl="0" w:tplc="48CC343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8541AB"/>
    <w:multiLevelType w:val="hybridMultilevel"/>
    <w:tmpl w:val="1B340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576C7"/>
    <w:multiLevelType w:val="hybridMultilevel"/>
    <w:tmpl w:val="40E03546"/>
    <w:lvl w:ilvl="0" w:tplc="3F7A7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E8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D4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AB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C2D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6D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4E4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65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04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B4E543F"/>
    <w:multiLevelType w:val="hybridMultilevel"/>
    <w:tmpl w:val="F14A3C4A"/>
    <w:lvl w:ilvl="0" w:tplc="E8989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an Kučera">
    <w15:presenceInfo w15:providerId="None" w15:userId="Milan Kuče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F1"/>
    <w:rsid w:val="0000594A"/>
    <w:rsid w:val="0001092D"/>
    <w:rsid w:val="000131D1"/>
    <w:rsid w:val="0001457F"/>
    <w:rsid w:val="00015F65"/>
    <w:rsid w:val="0001740E"/>
    <w:rsid w:val="00025FEC"/>
    <w:rsid w:val="000315E1"/>
    <w:rsid w:val="00031986"/>
    <w:rsid w:val="00034151"/>
    <w:rsid w:val="0003771B"/>
    <w:rsid w:val="00040341"/>
    <w:rsid w:val="0004438D"/>
    <w:rsid w:val="00056752"/>
    <w:rsid w:val="00061832"/>
    <w:rsid w:val="00064419"/>
    <w:rsid w:val="0006479B"/>
    <w:rsid w:val="00095730"/>
    <w:rsid w:val="000A2227"/>
    <w:rsid w:val="000B368B"/>
    <w:rsid w:val="000B7DCF"/>
    <w:rsid w:val="000C028B"/>
    <w:rsid w:val="000D36BA"/>
    <w:rsid w:val="000F269B"/>
    <w:rsid w:val="000F2DB3"/>
    <w:rsid w:val="000F402B"/>
    <w:rsid w:val="000F458C"/>
    <w:rsid w:val="000F6B26"/>
    <w:rsid w:val="000F77F0"/>
    <w:rsid w:val="001002BC"/>
    <w:rsid w:val="00101C07"/>
    <w:rsid w:val="00102E62"/>
    <w:rsid w:val="00102FE2"/>
    <w:rsid w:val="00104BB6"/>
    <w:rsid w:val="001051F2"/>
    <w:rsid w:val="0010585E"/>
    <w:rsid w:val="00105B34"/>
    <w:rsid w:val="00112660"/>
    <w:rsid w:val="001131D8"/>
    <w:rsid w:val="00114D0B"/>
    <w:rsid w:val="001206FC"/>
    <w:rsid w:val="001232DB"/>
    <w:rsid w:val="001336F5"/>
    <w:rsid w:val="00140F19"/>
    <w:rsid w:val="00143B02"/>
    <w:rsid w:val="00151B6C"/>
    <w:rsid w:val="001530A2"/>
    <w:rsid w:val="00154B5D"/>
    <w:rsid w:val="00155FB0"/>
    <w:rsid w:val="00167C67"/>
    <w:rsid w:val="00170A76"/>
    <w:rsid w:val="001775E6"/>
    <w:rsid w:val="00184ECD"/>
    <w:rsid w:val="00194E5E"/>
    <w:rsid w:val="001952A2"/>
    <w:rsid w:val="00195E97"/>
    <w:rsid w:val="001A272D"/>
    <w:rsid w:val="001A6CF3"/>
    <w:rsid w:val="001B0329"/>
    <w:rsid w:val="001B0CDF"/>
    <w:rsid w:val="001B24DA"/>
    <w:rsid w:val="001B5AC3"/>
    <w:rsid w:val="001B5E6F"/>
    <w:rsid w:val="001C1164"/>
    <w:rsid w:val="001C3FC0"/>
    <w:rsid w:val="001D3E7B"/>
    <w:rsid w:val="001D4F07"/>
    <w:rsid w:val="001D63BC"/>
    <w:rsid w:val="001D6868"/>
    <w:rsid w:val="001E1D2D"/>
    <w:rsid w:val="001E5FD0"/>
    <w:rsid w:val="001E71C0"/>
    <w:rsid w:val="001F048B"/>
    <w:rsid w:val="001F1583"/>
    <w:rsid w:val="001F2B1F"/>
    <w:rsid w:val="001F5CEA"/>
    <w:rsid w:val="00200076"/>
    <w:rsid w:val="00203FB1"/>
    <w:rsid w:val="0021087E"/>
    <w:rsid w:val="00210CE1"/>
    <w:rsid w:val="0021463F"/>
    <w:rsid w:val="00217424"/>
    <w:rsid w:val="00235072"/>
    <w:rsid w:val="002430A0"/>
    <w:rsid w:val="002450EC"/>
    <w:rsid w:val="00245C6F"/>
    <w:rsid w:val="00246A1F"/>
    <w:rsid w:val="00252FDD"/>
    <w:rsid w:val="00254990"/>
    <w:rsid w:val="002606A3"/>
    <w:rsid w:val="00272C7E"/>
    <w:rsid w:val="002746C0"/>
    <w:rsid w:val="002761BE"/>
    <w:rsid w:val="00281A2F"/>
    <w:rsid w:val="0028218F"/>
    <w:rsid w:val="002822A5"/>
    <w:rsid w:val="0028258F"/>
    <w:rsid w:val="00282F03"/>
    <w:rsid w:val="00286110"/>
    <w:rsid w:val="002861DA"/>
    <w:rsid w:val="002870A5"/>
    <w:rsid w:val="002928CD"/>
    <w:rsid w:val="00295045"/>
    <w:rsid w:val="002A1C88"/>
    <w:rsid w:val="002A3019"/>
    <w:rsid w:val="002B4FD4"/>
    <w:rsid w:val="002B569A"/>
    <w:rsid w:val="002B5BCE"/>
    <w:rsid w:val="002C2C5D"/>
    <w:rsid w:val="002C4718"/>
    <w:rsid w:val="002D0397"/>
    <w:rsid w:val="002D3400"/>
    <w:rsid w:val="002D41F8"/>
    <w:rsid w:val="002D5146"/>
    <w:rsid w:val="002E1256"/>
    <w:rsid w:val="002E2558"/>
    <w:rsid w:val="002E7B39"/>
    <w:rsid w:val="002F28D1"/>
    <w:rsid w:val="00300F18"/>
    <w:rsid w:val="00304F7C"/>
    <w:rsid w:val="00306C17"/>
    <w:rsid w:val="00315FD1"/>
    <w:rsid w:val="003206DA"/>
    <w:rsid w:val="00320FE7"/>
    <w:rsid w:val="003216F4"/>
    <w:rsid w:val="00322788"/>
    <w:rsid w:val="003264E0"/>
    <w:rsid w:val="00326FE1"/>
    <w:rsid w:val="00333C30"/>
    <w:rsid w:val="00335494"/>
    <w:rsid w:val="00344348"/>
    <w:rsid w:val="003452A2"/>
    <w:rsid w:val="0034604F"/>
    <w:rsid w:val="00351C8E"/>
    <w:rsid w:val="00363493"/>
    <w:rsid w:val="00364243"/>
    <w:rsid w:val="00367BA4"/>
    <w:rsid w:val="0038302D"/>
    <w:rsid w:val="0039066A"/>
    <w:rsid w:val="00390974"/>
    <w:rsid w:val="00391729"/>
    <w:rsid w:val="00392D12"/>
    <w:rsid w:val="003931EC"/>
    <w:rsid w:val="003A217F"/>
    <w:rsid w:val="003A2E31"/>
    <w:rsid w:val="003B17A8"/>
    <w:rsid w:val="003B3EB2"/>
    <w:rsid w:val="003B4BC7"/>
    <w:rsid w:val="003D04CA"/>
    <w:rsid w:val="003E396F"/>
    <w:rsid w:val="003E7455"/>
    <w:rsid w:val="003F10B8"/>
    <w:rsid w:val="00403BC0"/>
    <w:rsid w:val="004046B8"/>
    <w:rsid w:val="00413FA0"/>
    <w:rsid w:val="00415139"/>
    <w:rsid w:val="00416E70"/>
    <w:rsid w:val="00416F3E"/>
    <w:rsid w:val="00416F65"/>
    <w:rsid w:val="00421972"/>
    <w:rsid w:val="0042507E"/>
    <w:rsid w:val="00432E97"/>
    <w:rsid w:val="004352AC"/>
    <w:rsid w:val="00440C3A"/>
    <w:rsid w:val="0044370A"/>
    <w:rsid w:val="004470AA"/>
    <w:rsid w:val="004516F8"/>
    <w:rsid w:val="004530F1"/>
    <w:rsid w:val="004543A2"/>
    <w:rsid w:val="004567A4"/>
    <w:rsid w:val="00467E9B"/>
    <w:rsid w:val="00473D85"/>
    <w:rsid w:val="00474592"/>
    <w:rsid w:val="004830BE"/>
    <w:rsid w:val="004A07B3"/>
    <w:rsid w:val="004A0D27"/>
    <w:rsid w:val="004A18E4"/>
    <w:rsid w:val="004A253A"/>
    <w:rsid w:val="004A39B5"/>
    <w:rsid w:val="004A4797"/>
    <w:rsid w:val="004B56C9"/>
    <w:rsid w:val="004B6D63"/>
    <w:rsid w:val="004C405C"/>
    <w:rsid w:val="004C5994"/>
    <w:rsid w:val="004D5362"/>
    <w:rsid w:val="004E0A77"/>
    <w:rsid w:val="004E1445"/>
    <w:rsid w:val="004E7354"/>
    <w:rsid w:val="004F248F"/>
    <w:rsid w:val="00506616"/>
    <w:rsid w:val="00512ECF"/>
    <w:rsid w:val="00517A0D"/>
    <w:rsid w:val="00520BA8"/>
    <w:rsid w:val="0052428D"/>
    <w:rsid w:val="0053002F"/>
    <w:rsid w:val="005325A4"/>
    <w:rsid w:val="00534828"/>
    <w:rsid w:val="00542837"/>
    <w:rsid w:val="005428D1"/>
    <w:rsid w:val="0054404F"/>
    <w:rsid w:val="00552472"/>
    <w:rsid w:val="00552823"/>
    <w:rsid w:val="005550B2"/>
    <w:rsid w:val="00555FA7"/>
    <w:rsid w:val="00564575"/>
    <w:rsid w:val="00571A5D"/>
    <w:rsid w:val="0057231C"/>
    <w:rsid w:val="00573022"/>
    <w:rsid w:val="0057574F"/>
    <w:rsid w:val="0058174B"/>
    <w:rsid w:val="005868B1"/>
    <w:rsid w:val="00590DB3"/>
    <w:rsid w:val="00593C53"/>
    <w:rsid w:val="00597603"/>
    <w:rsid w:val="005A05C5"/>
    <w:rsid w:val="005A38DD"/>
    <w:rsid w:val="005A404F"/>
    <w:rsid w:val="005B08AC"/>
    <w:rsid w:val="005B13A4"/>
    <w:rsid w:val="005B2EB2"/>
    <w:rsid w:val="005D615D"/>
    <w:rsid w:val="005E0654"/>
    <w:rsid w:val="005F3D2B"/>
    <w:rsid w:val="00601435"/>
    <w:rsid w:val="00602B1C"/>
    <w:rsid w:val="00604541"/>
    <w:rsid w:val="00616F1D"/>
    <w:rsid w:val="00636407"/>
    <w:rsid w:val="00636796"/>
    <w:rsid w:val="00640D3F"/>
    <w:rsid w:val="00641C83"/>
    <w:rsid w:val="00647F13"/>
    <w:rsid w:val="00650E76"/>
    <w:rsid w:val="00653E6C"/>
    <w:rsid w:val="006649F8"/>
    <w:rsid w:val="006659A7"/>
    <w:rsid w:val="00666847"/>
    <w:rsid w:val="00666E16"/>
    <w:rsid w:val="00670267"/>
    <w:rsid w:val="00670E35"/>
    <w:rsid w:val="00672A91"/>
    <w:rsid w:val="00672C5B"/>
    <w:rsid w:val="00680CC1"/>
    <w:rsid w:val="0068132E"/>
    <w:rsid w:val="00681E70"/>
    <w:rsid w:val="00682D36"/>
    <w:rsid w:val="006847CE"/>
    <w:rsid w:val="006878F5"/>
    <w:rsid w:val="006A585C"/>
    <w:rsid w:val="006B007D"/>
    <w:rsid w:val="006B020A"/>
    <w:rsid w:val="006C349F"/>
    <w:rsid w:val="006C41FF"/>
    <w:rsid w:val="006D30CB"/>
    <w:rsid w:val="006D3956"/>
    <w:rsid w:val="006D547C"/>
    <w:rsid w:val="006D7561"/>
    <w:rsid w:val="006E065E"/>
    <w:rsid w:val="006E128F"/>
    <w:rsid w:val="006E3534"/>
    <w:rsid w:val="006E4992"/>
    <w:rsid w:val="006E7019"/>
    <w:rsid w:val="006F0257"/>
    <w:rsid w:val="006F4A64"/>
    <w:rsid w:val="007143D0"/>
    <w:rsid w:val="0071616D"/>
    <w:rsid w:val="00730210"/>
    <w:rsid w:val="00730261"/>
    <w:rsid w:val="00734BA3"/>
    <w:rsid w:val="0073562D"/>
    <w:rsid w:val="00740CF1"/>
    <w:rsid w:val="0074217B"/>
    <w:rsid w:val="00747AE0"/>
    <w:rsid w:val="00750103"/>
    <w:rsid w:val="0075265D"/>
    <w:rsid w:val="007553E1"/>
    <w:rsid w:val="00756E60"/>
    <w:rsid w:val="00757D86"/>
    <w:rsid w:val="00757FCC"/>
    <w:rsid w:val="00760ECC"/>
    <w:rsid w:val="00762B86"/>
    <w:rsid w:val="007654F5"/>
    <w:rsid w:val="00773328"/>
    <w:rsid w:val="007802D1"/>
    <w:rsid w:val="00782145"/>
    <w:rsid w:val="0078253B"/>
    <w:rsid w:val="007875EF"/>
    <w:rsid w:val="007875F6"/>
    <w:rsid w:val="00787FC7"/>
    <w:rsid w:val="00792FEB"/>
    <w:rsid w:val="0079476E"/>
    <w:rsid w:val="00794A8C"/>
    <w:rsid w:val="00794D8A"/>
    <w:rsid w:val="007A2D74"/>
    <w:rsid w:val="007B082B"/>
    <w:rsid w:val="007B1CD6"/>
    <w:rsid w:val="007C1AD4"/>
    <w:rsid w:val="007C7E13"/>
    <w:rsid w:val="007C7F34"/>
    <w:rsid w:val="007D3D07"/>
    <w:rsid w:val="007D4EC6"/>
    <w:rsid w:val="007D5408"/>
    <w:rsid w:val="007E51CF"/>
    <w:rsid w:val="007F2EC3"/>
    <w:rsid w:val="007F73E9"/>
    <w:rsid w:val="0080373A"/>
    <w:rsid w:val="008113E6"/>
    <w:rsid w:val="00813445"/>
    <w:rsid w:val="00813799"/>
    <w:rsid w:val="00836079"/>
    <w:rsid w:val="008375C4"/>
    <w:rsid w:val="00845B28"/>
    <w:rsid w:val="00845DD5"/>
    <w:rsid w:val="008621E2"/>
    <w:rsid w:val="00862538"/>
    <w:rsid w:val="00880C17"/>
    <w:rsid w:val="008815AF"/>
    <w:rsid w:val="00891932"/>
    <w:rsid w:val="00896D61"/>
    <w:rsid w:val="008A39B7"/>
    <w:rsid w:val="008B2B2F"/>
    <w:rsid w:val="008B383A"/>
    <w:rsid w:val="008C04BB"/>
    <w:rsid w:val="008C0CDC"/>
    <w:rsid w:val="008C1676"/>
    <w:rsid w:val="008C46E4"/>
    <w:rsid w:val="008C5DDA"/>
    <w:rsid w:val="008D1858"/>
    <w:rsid w:val="008D2AE2"/>
    <w:rsid w:val="008E01C2"/>
    <w:rsid w:val="008E22A4"/>
    <w:rsid w:val="008F492C"/>
    <w:rsid w:val="008F7205"/>
    <w:rsid w:val="008F7B85"/>
    <w:rsid w:val="008F7E23"/>
    <w:rsid w:val="009012C1"/>
    <w:rsid w:val="009074FE"/>
    <w:rsid w:val="00907EAC"/>
    <w:rsid w:val="009106A5"/>
    <w:rsid w:val="00914CE3"/>
    <w:rsid w:val="00914F37"/>
    <w:rsid w:val="00924C08"/>
    <w:rsid w:val="0092668A"/>
    <w:rsid w:val="0093075D"/>
    <w:rsid w:val="00930A4E"/>
    <w:rsid w:val="009364CB"/>
    <w:rsid w:val="009370D2"/>
    <w:rsid w:val="00943C9C"/>
    <w:rsid w:val="00944BFF"/>
    <w:rsid w:val="009541CA"/>
    <w:rsid w:val="00973276"/>
    <w:rsid w:val="00985C15"/>
    <w:rsid w:val="0099065F"/>
    <w:rsid w:val="009936A1"/>
    <w:rsid w:val="00997A1E"/>
    <w:rsid w:val="009A204D"/>
    <w:rsid w:val="009A3DF0"/>
    <w:rsid w:val="009A533F"/>
    <w:rsid w:val="009A7A28"/>
    <w:rsid w:val="009C7986"/>
    <w:rsid w:val="009E2F18"/>
    <w:rsid w:val="009E358E"/>
    <w:rsid w:val="009E52D4"/>
    <w:rsid w:val="009E5E99"/>
    <w:rsid w:val="009E5F06"/>
    <w:rsid w:val="00A009D4"/>
    <w:rsid w:val="00A04CF8"/>
    <w:rsid w:val="00A06192"/>
    <w:rsid w:val="00A14A2E"/>
    <w:rsid w:val="00A14ED4"/>
    <w:rsid w:val="00A22FF5"/>
    <w:rsid w:val="00A275CA"/>
    <w:rsid w:val="00A34DA4"/>
    <w:rsid w:val="00A37D65"/>
    <w:rsid w:val="00A44EC9"/>
    <w:rsid w:val="00A45D51"/>
    <w:rsid w:val="00A55352"/>
    <w:rsid w:val="00A610F3"/>
    <w:rsid w:val="00A626A0"/>
    <w:rsid w:val="00A6276F"/>
    <w:rsid w:val="00A6365E"/>
    <w:rsid w:val="00A76D2D"/>
    <w:rsid w:val="00A832CA"/>
    <w:rsid w:val="00AA4FC7"/>
    <w:rsid w:val="00AB2D8C"/>
    <w:rsid w:val="00AD775F"/>
    <w:rsid w:val="00AE0F2F"/>
    <w:rsid w:val="00AE7F6D"/>
    <w:rsid w:val="00AF19B2"/>
    <w:rsid w:val="00B019CD"/>
    <w:rsid w:val="00B05688"/>
    <w:rsid w:val="00B05DFE"/>
    <w:rsid w:val="00B14D15"/>
    <w:rsid w:val="00B17B1B"/>
    <w:rsid w:val="00B22A22"/>
    <w:rsid w:val="00B24598"/>
    <w:rsid w:val="00B247C4"/>
    <w:rsid w:val="00B31F4E"/>
    <w:rsid w:val="00B3464E"/>
    <w:rsid w:val="00B4216F"/>
    <w:rsid w:val="00B43A61"/>
    <w:rsid w:val="00B44C1D"/>
    <w:rsid w:val="00B51436"/>
    <w:rsid w:val="00B531C2"/>
    <w:rsid w:val="00B53434"/>
    <w:rsid w:val="00B5434B"/>
    <w:rsid w:val="00B54460"/>
    <w:rsid w:val="00B60E38"/>
    <w:rsid w:val="00B6157E"/>
    <w:rsid w:val="00B7007D"/>
    <w:rsid w:val="00B94FE7"/>
    <w:rsid w:val="00BA18AD"/>
    <w:rsid w:val="00BA279D"/>
    <w:rsid w:val="00BB38E9"/>
    <w:rsid w:val="00BC3713"/>
    <w:rsid w:val="00BD2545"/>
    <w:rsid w:val="00BD6D36"/>
    <w:rsid w:val="00BE040F"/>
    <w:rsid w:val="00BE07DC"/>
    <w:rsid w:val="00BF0555"/>
    <w:rsid w:val="00C02E0E"/>
    <w:rsid w:val="00C10794"/>
    <w:rsid w:val="00C1372E"/>
    <w:rsid w:val="00C174A3"/>
    <w:rsid w:val="00C24C6A"/>
    <w:rsid w:val="00C265A9"/>
    <w:rsid w:val="00C27471"/>
    <w:rsid w:val="00C2788F"/>
    <w:rsid w:val="00C3276A"/>
    <w:rsid w:val="00C343CB"/>
    <w:rsid w:val="00C4236C"/>
    <w:rsid w:val="00C533AE"/>
    <w:rsid w:val="00C539EA"/>
    <w:rsid w:val="00C54E53"/>
    <w:rsid w:val="00C57BB1"/>
    <w:rsid w:val="00C6037B"/>
    <w:rsid w:val="00C609B1"/>
    <w:rsid w:val="00C63D12"/>
    <w:rsid w:val="00C669B1"/>
    <w:rsid w:val="00C6718F"/>
    <w:rsid w:val="00C8557C"/>
    <w:rsid w:val="00C8782C"/>
    <w:rsid w:val="00C906DF"/>
    <w:rsid w:val="00CA1800"/>
    <w:rsid w:val="00CA3A74"/>
    <w:rsid w:val="00CB0F79"/>
    <w:rsid w:val="00CB224A"/>
    <w:rsid w:val="00CB6C2C"/>
    <w:rsid w:val="00CB7256"/>
    <w:rsid w:val="00CB795F"/>
    <w:rsid w:val="00CC0EA1"/>
    <w:rsid w:val="00CC23D1"/>
    <w:rsid w:val="00CD3059"/>
    <w:rsid w:val="00CD30A9"/>
    <w:rsid w:val="00D4047E"/>
    <w:rsid w:val="00D42A84"/>
    <w:rsid w:val="00D42E4F"/>
    <w:rsid w:val="00D44075"/>
    <w:rsid w:val="00D50226"/>
    <w:rsid w:val="00D56476"/>
    <w:rsid w:val="00D56AC2"/>
    <w:rsid w:val="00D632AF"/>
    <w:rsid w:val="00D65404"/>
    <w:rsid w:val="00D66A38"/>
    <w:rsid w:val="00D72D0F"/>
    <w:rsid w:val="00D72EC9"/>
    <w:rsid w:val="00D837CE"/>
    <w:rsid w:val="00D94E1F"/>
    <w:rsid w:val="00D956EF"/>
    <w:rsid w:val="00D97FA4"/>
    <w:rsid w:val="00DA088F"/>
    <w:rsid w:val="00DB55E1"/>
    <w:rsid w:val="00DC66B3"/>
    <w:rsid w:val="00DD6962"/>
    <w:rsid w:val="00DE2D73"/>
    <w:rsid w:val="00DE4B9D"/>
    <w:rsid w:val="00DE5F9F"/>
    <w:rsid w:val="00E124F1"/>
    <w:rsid w:val="00E17B32"/>
    <w:rsid w:val="00E266C4"/>
    <w:rsid w:val="00E30B1C"/>
    <w:rsid w:val="00E31116"/>
    <w:rsid w:val="00E317B7"/>
    <w:rsid w:val="00E374DE"/>
    <w:rsid w:val="00E41042"/>
    <w:rsid w:val="00E4243D"/>
    <w:rsid w:val="00E4268B"/>
    <w:rsid w:val="00E427EF"/>
    <w:rsid w:val="00E43E4F"/>
    <w:rsid w:val="00E50A90"/>
    <w:rsid w:val="00E5610B"/>
    <w:rsid w:val="00E56362"/>
    <w:rsid w:val="00E62AFC"/>
    <w:rsid w:val="00E65B63"/>
    <w:rsid w:val="00E70A3C"/>
    <w:rsid w:val="00E8020D"/>
    <w:rsid w:val="00E92463"/>
    <w:rsid w:val="00E9480D"/>
    <w:rsid w:val="00EA1A85"/>
    <w:rsid w:val="00EA36DF"/>
    <w:rsid w:val="00EA4ED2"/>
    <w:rsid w:val="00EA7B58"/>
    <w:rsid w:val="00EB648D"/>
    <w:rsid w:val="00EC0D54"/>
    <w:rsid w:val="00ED30DE"/>
    <w:rsid w:val="00ED4E05"/>
    <w:rsid w:val="00EE32B7"/>
    <w:rsid w:val="00EF52DF"/>
    <w:rsid w:val="00F14369"/>
    <w:rsid w:val="00F24D65"/>
    <w:rsid w:val="00F30D3A"/>
    <w:rsid w:val="00F36721"/>
    <w:rsid w:val="00F44D3B"/>
    <w:rsid w:val="00F50903"/>
    <w:rsid w:val="00F50BD5"/>
    <w:rsid w:val="00F54291"/>
    <w:rsid w:val="00F562A1"/>
    <w:rsid w:val="00F757D5"/>
    <w:rsid w:val="00F81D0B"/>
    <w:rsid w:val="00F83C07"/>
    <w:rsid w:val="00F842DC"/>
    <w:rsid w:val="00F87A92"/>
    <w:rsid w:val="00F90E59"/>
    <w:rsid w:val="00F93019"/>
    <w:rsid w:val="00F94DA3"/>
    <w:rsid w:val="00F95A90"/>
    <w:rsid w:val="00FA4032"/>
    <w:rsid w:val="00FA5DC5"/>
    <w:rsid w:val="00FA7C38"/>
    <w:rsid w:val="00FB15F5"/>
    <w:rsid w:val="00FB1D46"/>
    <w:rsid w:val="00FB2991"/>
    <w:rsid w:val="00FB6BB7"/>
    <w:rsid w:val="00FC481C"/>
    <w:rsid w:val="00FC78D4"/>
    <w:rsid w:val="00FD2C24"/>
    <w:rsid w:val="00FE0720"/>
    <w:rsid w:val="00FE0DD6"/>
    <w:rsid w:val="00FE4623"/>
    <w:rsid w:val="00FE51CB"/>
    <w:rsid w:val="00FE561A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F0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1F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12660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593C5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44370A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A636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36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365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65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6365E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2E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1F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12660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593C5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44370A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A636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36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365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65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6365E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2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472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8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27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99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498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01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31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machova@ceproas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proa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ikmundt\Dokumenty\Tiskov&#233;%20zpr&#225;vy%20a%20informace\&#353;ablona%20T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TZ</Template>
  <TotalTime>0</TotalTime>
  <Pages>2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ZapisZJednani CEPRO a.s.</vt:lpstr>
    </vt:vector>
  </TitlesOfParts>
  <Company>Hewlett-Packard Company</Company>
  <LinksUpToDate>false</LinksUpToDate>
  <CharactersWithSpaces>3445</CharactersWithSpaces>
  <SharedDoc>false</SharedDoc>
  <HLinks>
    <vt:vector size="6" baseType="variant">
      <vt:variant>
        <vt:i4>6815858</vt:i4>
      </vt:variant>
      <vt:variant>
        <vt:i4>0</vt:i4>
      </vt:variant>
      <vt:variant>
        <vt:i4>0</vt:i4>
      </vt:variant>
      <vt:variant>
        <vt:i4>5</vt:i4>
      </vt:variant>
      <vt:variant>
        <vt:lpwstr>http://www.ceproas.cz/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ZapisZJednani CEPRO a.s.</dc:title>
  <dc:creator>Roškanin Michal</dc:creator>
  <cp:lastModifiedBy>Máchová Linda</cp:lastModifiedBy>
  <cp:revision>2</cp:revision>
  <cp:lastPrinted>2019-01-23T13:34:00Z</cp:lastPrinted>
  <dcterms:created xsi:type="dcterms:W3CDTF">2019-01-31T15:46:00Z</dcterms:created>
  <dcterms:modified xsi:type="dcterms:W3CDTF">2019-01-31T15:46:00Z</dcterms:modified>
</cp:coreProperties>
</file>