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16" w:rsidRDefault="00E210F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-555625</wp:posOffset>
            </wp:positionV>
            <wp:extent cx="2857500" cy="560705"/>
            <wp:effectExtent l="0" t="0" r="0" b="0"/>
            <wp:wrapNone/>
            <wp:docPr id="6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32A" w:rsidRDefault="00BE532A"/>
    <w:p w:rsidR="008A2ACB" w:rsidRPr="00B10273" w:rsidRDefault="008A2ACB" w:rsidP="008A2ACB">
      <w:pPr>
        <w:shd w:val="clear" w:color="auto" w:fill="FFFFFF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B10273">
        <w:rPr>
          <w:rFonts w:ascii="Arial" w:hAnsi="Arial" w:cs="Arial"/>
          <w:b/>
          <w:bCs/>
          <w:color w:val="212121"/>
          <w:sz w:val="22"/>
          <w:szCs w:val="22"/>
        </w:rPr>
        <w:t>TISKOVÁ ZPRÁVA</w:t>
      </w:r>
    </w:p>
    <w:p w:rsidR="008A2ACB" w:rsidRPr="00B10273" w:rsidRDefault="008A2ACB" w:rsidP="008A2ACB">
      <w:pPr>
        <w:shd w:val="clear" w:color="auto" w:fill="FFFFFF"/>
        <w:jc w:val="center"/>
        <w:rPr>
          <w:rFonts w:ascii="Arial" w:hAnsi="Arial" w:cs="Arial"/>
          <w:bCs/>
          <w:color w:val="212121"/>
          <w:sz w:val="22"/>
          <w:szCs w:val="22"/>
        </w:rPr>
      </w:pPr>
      <w:r w:rsidRPr="00B10273">
        <w:rPr>
          <w:rFonts w:ascii="Arial" w:hAnsi="Arial" w:cs="Arial"/>
          <w:bCs/>
          <w:color w:val="212121"/>
          <w:sz w:val="22"/>
          <w:szCs w:val="22"/>
        </w:rPr>
        <w:t>Praha 31. 1. 2018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B10273">
        <w:rPr>
          <w:rFonts w:ascii="Arial" w:hAnsi="Arial" w:cs="Arial"/>
          <w:b/>
          <w:bCs/>
          <w:color w:val="212121"/>
          <w:sz w:val="22"/>
          <w:szCs w:val="22"/>
        </w:rPr>
        <w:t>ČEPRO stále čelí nezákonným útokům, svůj boj se zločinem mapuje na svém webu pro veřejnost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i/>
          <w:color w:val="212121"/>
          <w:sz w:val="22"/>
          <w:szCs w:val="22"/>
          <w:highlight w:val="yellow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 xml:space="preserve">Městský soud v Praze již poněkolikáté odložil rozhodnutí ve sporu JUDr. Vladimíra Bartoše se společností ČEPRO, a to na základě další žádosti JUDr. Bartoše o odročení jednání, kterou zdůvodnil tím, že aktuálně podstupuje lázeňskou léčbu. JUDr. Bartoš za společností ČEPRO uplatňuje neexistující pohledávku; insolvenční návrh podal už v roce 2011. Ačkoliv jde o typický příklad </w:t>
      </w:r>
      <w:proofErr w:type="spellStart"/>
      <w:r w:rsidRPr="00B10273">
        <w:rPr>
          <w:rFonts w:ascii="Arial" w:hAnsi="Arial" w:cs="Arial"/>
          <w:color w:val="212121"/>
          <w:sz w:val="22"/>
          <w:szCs w:val="22"/>
        </w:rPr>
        <w:t>šikanozní</w:t>
      </w:r>
      <w:proofErr w:type="spellEnd"/>
      <w:r w:rsidRPr="00B10273">
        <w:rPr>
          <w:rFonts w:ascii="Arial" w:hAnsi="Arial" w:cs="Arial"/>
          <w:color w:val="212121"/>
          <w:sz w:val="22"/>
          <w:szCs w:val="22"/>
        </w:rPr>
        <w:t xml:space="preserve"> insolvence, kterou soud už v minulosti zamítnul, kvůli obstrukcím ze strany JUDr. Bartoše a dřívějším procesním chybám však soudy případ dosud neuzavřely. 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>Původně měl soud o případu rozhodnout už v prosinci, kvůli obstrukcím ze strany JUDr.</w:t>
      </w:r>
      <w:r w:rsidR="0018645E">
        <w:rPr>
          <w:rFonts w:ascii="Arial" w:hAnsi="Arial" w:cs="Arial"/>
          <w:color w:val="212121"/>
          <w:sz w:val="22"/>
          <w:szCs w:val="22"/>
        </w:rPr>
        <w:t> 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Bartoše ale jednání odročil právě na 31. ledna. Po dnešku se termín odsouvá na 21. února 2018. </w:t>
      </w:r>
      <w:r w:rsidRPr="00B10273">
        <w:rPr>
          <w:rFonts w:ascii="Arial" w:hAnsi="Arial" w:cs="Arial"/>
          <w:i/>
          <w:color w:val="212121"/>
          <w:sz w:val="22"/>
          <w:szCs w:val="22"/>
        </w:rPr>
        <w:t xml:space="preserve">„Kvůli procesním obstrukcím se opět nepodařilo dosáhnout pravomocného rozhodnutí. Již několikrát přitom soudy tento insolvenční návrh zamítly jako zcela neopodstatněný,“ 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uvedl </w:t>
      </w:r>
      <w:r w:rsidRPr="00B10273">
        <w:rPr>
          <w:rFonts w:ascii="Arial" w:hAnsi="Arial" w:cs="Arial"/>
          <w:b/>
          <w:color w:val="212121"/>
          <w:sz w:val="22"/>
          <w:szCs w:val="22"/>
        </w:rPr>
        <w:t>JUDr. Jaromír Císař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, společník advokátní kanceláře CÍSAŘ, ČEŠKA, SMUTNÝ, která společnost ČEPRO před soudy zastupuje. 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proofErr w:type="spellStart"/>
      <w:r w:rsidRPr="00B10273">
        <w:rPr>
          <w:rFonts w:ascii="Arial" w:hAnsi="Arial" w:cs="Arial"/>
          <w:color w:val="212121"/>
          <w:sz w:val="22"/>
          <w:szCs w:val="22"/>
        </w:rPr>
        <w:t>Šikanozní</w:t>
      </w:r>
      <w:proofErr w:type="spellEnd"/>
      <w:r w:rsidRPr="00B10273">
        <w:rPr>
          <w:rFonts w:ascii="Arial" w:hAnsi="Arial" w:cs="Arial"/>
          <w:color w:val="212121"/>
          <w:sz w:val="22"/>
          <w:szCs w:val="22"/>
        </w:rPr>
        <w:t xml:space="preserve"> insolvence není jediným útokem, kterému společnost ČEPRO čelí. Firma se brání i ve sporech, které mají původ v daňových únicích z devadesátých let a kauzách spojených se jmény Radovana Krejčíře a Martina Pechana. Tam, kde soudy dospěly k pravomocnému rozhodnutí, sice vždy daly za pravdu společnosti ČEPRO. Některé procesy ale trvají přes 15</w:t>
      </w:r>
      <w:r w:rsidR="0018645E">
        <w:rPr>
          <w:rFonts w:ascii="Arial" w:hAnsi="Arial" w:cs="Arial"/>
          <w:color w:val="212121"/>
          <w:sz w:val="22"/>
          <w:szCs w:val="22"/>
        </w:rPr>
        <w:t> </w:t>
      </w:r>
      <w:r w:rsidRPr="00B10273">
        <w:rPr>
          <w:rFonts w:ascii="Arial" w:hAnsi="Arial" w:cs="Arial"/>
          <w:color w:val="212121"/>
          <w:sz w:val="22"/>
          <w:szCs w:val="22"/>
        </w:rPr>
        <w:t>let a dosud v nich nepadl definitivní verdikt.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18645E">
        <w:rPr>
          <w:rFonts w:ascii="Arial" w:hAnsi="Arial" w:cs="Arial"/>
          <w:iCs/>
          <w:color w:val="212121"/>
          <w:sz w:val="22"/>
          <w:szCs w:val="22"/>
        </w:rPr>
        <w:t>„</w:t>
      </w:r>
      <w:r w:rsidRPr="00B10273">
        <w:rPr>
          <w:rFonts w:ascii="Arial" w:hAnsi="Arial" w:cs="Arial"/>
          <w:i/>
          <w:iCs/>
          <w:color w:val="212121"/>
          <w:sz w:val="22"/>
          <w:szCs w:val="22"/>
        </w:rPr>
        <w:t>ČEPRO čelilo od devadesátých let různým pokusům o podvody, tunelování, stalo se obětí organizovaného zločinu. Za některými útoky stál také pravděpodobně i Radovan Krejčíř. Už od roku 2005 se snažíme dobrat spravedlnosti a ochránit majetek společnosti ČEPRO, se soudy a orgány činnými v trestním řízení maximálně spolupracujeme. Společnost ČEPRO je v současnosti ve skvělé kondici, důsledky letitých kauz nás však pořád provázejí</w:t>
      </w:r>
      <w:r w:rsidRPr="0018645E">
        <w:rPr>
          <w:rFonts w:ascii="Arial" w:hAnsi="Arial" w:cs="Arial"/>
          <w:iCs/>
          <w:color w:val="212121"/>
          <w:sz w:val="22"/>
          <w:szCs w:val="22"/>
        </w:rPr>
        <w:t>“</w:t>
      </w:r>
      <w:r w:rsidR="0018645E">
        <w:rPr>
          <w:rFonts w:ascii="Arial" w:hAnsi="Arial" w:cs="Arial"/>
          <w:iCs/>
          <w:color w:val="212121"/>
          <w:sz w:val="22"/>
          <w:szCs w:val="22"/>
        </w:rPr>
        <w:t>,</w:t>
      </w:r>
      <w:r w:rsidRPr="00B10273">
        <w:rPr>
          <w:rFonts w:ascii="Arial" w:hAnsi="Arial" w:cs="Arial"/>
          <w:i/>
          <w:iCs/>
          <w:color w:val="212121"/>
          <w:sz w:val="22"/>
          <w:szCs w:val="22"/>
        </w:rPr>
        <w:t> 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uvedl generální ředitel společnosti ČEPRO </w:t>
      </w:r>
      <w:r w:rsidRPr="00B10273">
        <w:rPr>
          <w:rFonts w:ascii="Arial" w:hAnsi="Arial" w:cs="Arial"/>
          <w:b/>
          <w:color w:val="212121"/>
          <w:sz w:val="22"/>
          <w:szCs w:val="22"/>
        </w:rPr>
        <w:t>Jan Duspěva.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>Staré spory podle něj bezdůvodně poškozují dobré jméno strategické státní firmy. Obchodním partnerům například musel vysvětlovat, že pohledávka JUDr. Bartoše je fiktivní. Společnost ČEPRO je přitom ve výborné ekonomické kondici, v loňském roce vydělala zhruba 1,1 miliardy korun. Umístila se v žebříčku TOP10 společností v České republice, Duspěva se proto chce více soustředit na komunikaci s veřejností: „</w:t>
      </w:r>
      <w:r w:rsidRPr="00B10273">
        <w:rPr>
          <w:rFonts w:ascii="Arial" w:hAnsi="Arial" w:cs="Arial"/>
          <w:i/>
          <w:iCs/>
          <w:color w:val="212121"/>
          <w:sz w:val="22"/>
          <w:szCs w:val="22"/>
        </w:rPr>
        <w:t>Cítíme povinnost vysvětlit veřejnosti v širším kontextu, jaká je naše současná situace.“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 xml:space="preserve">Společnost ČEPRO v této souvislosti nově spouští speciální web o svém boji proti zločinu. Na stránce </w:t>
      </w:r>
      <w:hyperlink r:id="rId8" w:history="1">
        <w:r w:rsidRPr="00B10273">
          <w:rPr>
            <w:rStyle w:val="Hypertextovodkaz"/>
            <w:rFonts w:ascii="Arial" w:hAnsi="Arial" w:cs="Arial"/>
            <w:sz w:val="22"/>
            <w:szCs w:val="22"/>
          </w:rPr>
          <w:t>http://kauzycepro.cz</w:t>
        </w:r>
      </w:hyperlink>
      <w:r w:rsidRPr="00B10273">
        <w:rPr>
          <w:rFonts w:ascii="Arial" w:hAnsi="Arial" w:cs="Arial"/>
          <w:color w:val="212121"/>
          <w:sz w:val="22"/>
          <w:szCs w:val="22"/>
        </w:rPr>
        <w:t xml:space="preserve"> mapuje nejvýznamnější kauzy, se kterými měla státní firma v minulosti co do činění. K dispozici je přehled otevřených i ukončených sporů a také podrobná dokumentace příčin, kvůli kterým stále dochází k průtahům. Podle </w:t>
      </w:r>
      <w:proofErr w:type="spellStart"/>
      <w:r w:rsidRPr="00B10273">
        <w:rPr>
          <w:rFonts w:ascii="Arial" w:hAnsi="Arial" w:cs="Arial"/>
          <w:color w:val="212121"/>
          <w:sz w:val="22"/>
          <w:szCs w:val="22"/>
        </w:rPr>
        <w:t>Duspěvy</w:t>
      </w:r>
      <w:proofErr w:type="spellEnd"/>
      <w:r w:rsidRPr="00B10273">
        <w:rPr>
          <w:rFonts w:ascii="Arial" w:hAnsi="Arial" w:cs="Arial"/>
          <w:color w:val="212121"/>
          <w:sz w:val="22"/>
          <w:szCs w:val="22"/>
        </w:rPr>
        <w:t xml:space="preserve"> má web především transparentně ukázat, v jakém stavu tyto soudní spory jsou, kdy vznikly a</w:t>
      </w:r>
      <w:r w:rsidR="0018645E">
        <w:rPr>
          <w:rFonts w:ascii="Arial" w:hAnsi="Arial" w:cs="Arial"/>
          <w:color w:val="212121"/>
          <w:sz w:val="22"/>
          <w:szCs w:val="22"/>
        </w:rPr>
        <w:t> </w:t>
      </w:r>
      <w:r w:rsidRPr="00B10273">
        <w:rPr>
          <w:rFonts w:ascii="Arial" w:hAnsi="Arial" w:cs="Arial"/>
          <w:color w:val="212121"/>
          <w:sz w:val="22"/>
          <w:szCs w:val="22"/>
        </w:rPr>
        <w:t>kdo v nich hrál hlavní roli. 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 xml:space="preserve">Radovan Krejčíř je možná nejznámějším aktérem, který v kauzách figuruje. Na počátku nového tisíciletí se pokusil ČEPRO vytunelovat, plánoval i další podvody a dokonce vraždu celníka. JUDr. Martin Pechan byl ve stejné době obchodním ředitelem společnosti ČEPRO, následně byl obžalován z podílu na daňových únicích, z pokusu o podvodné vylákání </w:t>
      </w:r>
      <w:r w:rsidRPr="00B10273">
        <w:rPr>
          <w:rFonts w:ascii="Arial" w:hAnsi="Arial" w:cs="Arial"/>
          <w:color w:val="212121"/>
          <w:sz w:val="22"/>
          <w:szCs w:val="22"/>
        </w:rPr>
        <w:lastRenderedPageBreak/>
        <w:t>prostředků od společnosti ČEPRO nebo ze spolupráce s organizovaným zločinem. Krejčíř i</w:t>
      </w:r>
      <w:r w:rsidR="0018645E">
        <w:rPr>
          <w:rFonts w:ascii="Arial" w:hAnsi="Arial" w:cs="Arial"/>
          <w:color w:val="212121"/>
          <w:sz w:val="22"/>
          <w:szCs w:val="22"/>
        </w:rPr>
        <w:t> 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Pechan byli sice za své činy odsouzeni, rozsudek ale není pravomocný. 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>Uzavřený není ani spor společnosti ČEPRO s bývalými manažery Tomášem Kadlecem a</w:t>
      </w:r>
      <w:r w:rsidR="0018645E">
        <w:rPr>
          <w:rFonts w:ascii="Arial" w:hAnsi="Arial" w:cs="Arial"/>
          <w:color w:val="212121"/>
          <w:sz w:val="22"/>
          <w:szCs w:val="22"/>
        </w:rPr>
        <w:t> </w:t>
      </w:r>
      <w:bookmarkStart w:id="0" w:name="_GoBack"/>
      <w:bookmarkEnd w:id="0"/>
      <w:r w:rsidRPr="00B10273">
        <w:rPr>
          <w:rFonts w:ascii="Arial" w:hAnsi="Arial" w:cs="Arial"/>
          <w:color w:val="212121"/>
          <w:sz w:val="22"/>
          <w:szCs w:val="22"/>
        </w:rPr>
        <w:t>Alexandrem Houškou. Jejich případ řešila mimo jiné soudkyně Obvodního soudu pro Prahu 1 JUDr. Helena Králová, která oba manažery opakovaně osvobodila. Nadřízené soudy toto rozhodnutí ale vždy zrušily. Soudkyně Králová čelila za svoje jednání dvěma kárným žalobám, loni v prosinci byla zbavena soudcovské funkce.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>Právní zástupci firmy poukazují také to, že úspěšnému zakončení sporů často brání obstrukce a procesní průtahy. „</w:t>
      </w:r>
      <w:r w:rsidRPr="00B10273">
        <w:rPr>
          <w:rFonts w:ascii="Arial" w:hAnsi="Arial" w:cs="Arial"/>
          <w:i/>
          <w:iCs/>
          <w:color w:val="212121"/>
          <w:sz w:val="22"/>
          <w:szCs w:val="22"/>
        </w:rPr>
        <w:t>V jedné z nejdůležitějších kauz, která je v podstatě pokračováním pokusu o tunelování společnosti ČEPRO z roku 2004, se projednávání zadrhlo na tom, že fiktivní pohledávka putovala po zahraničních firmách a několikrát změnila majitele</w:t>
      </w:r>
      <w:r w:rsidRPr="00B10273">
        <w:rPr>
          <w:rFonts w:ascii="Arial" w:hAnsi="Arial" w:cs="Arial"/>
          <w:color w:val="212121"/>
          <w:sz w:val="22"/>
          <w:szCs w:val="22"/>
        </w:rPr>
        <w:t xml:space="preserve">,“ uvedl jako příklad </w:t>
      </w:r>
      <w:r w:rsidRPr="00B10273">
        <w:rPr>
          <w:rFonts w:ascii="Arial" w:hAnsi="Arial" w:cs="Arial"/>
          <w:b/>
          <w:color w:val="212121"/>
          <w:sz w:val="22"/>
          <w:szCs w:val="22"/>
        </w:rPr>
        <w:t>JUDr. Jaromír Císař.</w:t>
      </w:r>
    </w:p>
    <w:p w:rsidR="008A2ACB" w:rsidRPr="00B10273" w:rsidRDefault="008A2ACB" w:rsidP="008A2AC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B10273">
        <w:rPr>
          <w:rFonts w:ascii="Arial" w:hAnsi="Arial" w:cs="Arial"/>
          <w:color w:val="212121"/>
          <w:sz w:val="22"/>
          <w:szCs w:val="22"/>
        </w:rPr>
        <w:t> </w:t>
      </w:r>
    </w:p>
    <w:p w:rsidR="008A2ACB" w:rsidRPr="00B10273" w:rsidRDefault="008A2ACB" w:rsidP="008A2ACB">
      <w:pPr>
        <w:rPr>
          <w:rFonts w:ascii="Arial" w:hAnsi="Arial" w:cs="Arial"/>
          <w:sz w:val="22"/>
          <w:szCs w:val="22"/>
        </w:rPr>
      </w:pPr>
    </w:p>
    <w:p w:rsidR="008A2ACB" w:rsidRPr="00B10273" w:rsidRDefault="008A2ACB" w:rsidP="008A2ACB">
      <w:pPr>
        <w:rPr>
          <w:rFonts w:ascii="Arial" w:hAnsi="Arial" w:cs="Arial"/>
          <w:sz w:val="22"/>
          <w:szCs w:val="22"/>
        </w:rPr>
      </w:pPr>
    </w:p>
    <w:p w:rsidR="008A2ACB" w:rsidRPr="00B10273" w:rsidRDefault="008A2ACB" w:rsidP="008A2ACB">
      <w:pPr>
        <w:shd w:val="clear" w:color="auto" w:fill="FFFFFF"/>
        <w:spacing w:line="280" w:lineRule="atLeast"/>
        <w:rPr>
          <w:rFonts w:ascii="Arial" w:hAnsi="Arial" w:cs="Arial"/>
          <w:b/>
          <w:sz w:val="22"/>
          <w:szCs w:val="22"/>
        </w:rPr>
      </w:pPr>
      <w:r w:rsidRPr="00B10273">
        <w:rPr>
          <w:rFonts w:ascii="Arial" w:hAnsi="Arial" w:cs="Arial"/>
          <w:b/>
          <w:sz w:val="22"/>
          <w:szCs w:val="22"/>
        </w:rPr>
        <w:t>Kontakty:</w:t>
      </w:r>
    </w:p>
    <w:p w:rsidR="008A2ACB" w:rsidRPr="00B10273" w:rsidRDefault="008A2ACB" w:rsidP="008A2ACB">
      <w:pPr>
        <w:rPr>
          <w:rFonts w:ascii="Arial" w:hAnsi="Arial" w:cs="Arial"/>
          <w:sz w:val="22"/>
          <w:szCs w:val="22"/>
        </w:rPr>
      </w:pPr>
      <w:r w:rsidRPr="00B10273">
        <w:rPr>
          <w:rFonts w:ascii="Arial" w:hAnsi="Arial" w:cs="Arial"/>
          <w:b/>
          <w:sz w:val="22"/>
          <w:szCs w:val="22"/>
        </w:rPr>
        <w:t xml:space="preserve">ČEPRO, a.s.: </w:t>
      </w:r>
      <w:r w:rsidRPr="00B10273">
        <w:rPr>
          <w:rFonts w:ascii="Arial" w:hAnsi="Arial" w:cs="Arial"/>
          <w:sz w:val="22"/>
          <w:szCs w:val="22"/>
        </w:rPr>
        <w:t xml:space="preserve">Dělnická 213/12, Holešovice, 170 00 Praha 7, </w:t>
      </w:r>
      <w:hyperlink r:id="rId9" w:history="1">
        <w:r w:rsidRPr="00B10273">
          <w:rPr>
            <w:rStyle w:val="Hypertextovodkaz"/>
            <w:rFonts w:ascii="Arial" w:hAnsi="Arial" w:cs="Arial"/>
            <w:sz w:val="22"/>
            <w:szCs w:val="22"/>
          </w:rPr>
          <w:t>www.ceproas.cz</w:t>
        </w:r>
      </w:hyperlink>
    </w:p>
    <w:p w:rsidR="008A2ACB" w:rsidRPr="00B10273" w:rsidRDefault="008A2ACB" w:rsidP="008A2ACB">
      <w:pPr>
        <w:rPr>
          <w:rFonts w:ascii="Arial" w:hAnsi="Arial" w:cs="Arial"/>
          <w:sz w:val="22"/>
          <w:szCs w:val="22"/>
        </w:rPr>
      </w:pPr>
      <w:r w:rsidRPr="00B10273">
        <w:rPr>
          <w:rFonts w:ascii="Arial" w:hAnsi="Arial" w:cs="Arial"/>
          <w:sz w:val="22"/>
          <w:szCs w:val="22"/>
        </w:rPr>
        <w:t xml:space="preserve">Lenka Svobodová, e-mail: </w:t>
      </w:r>
      <w:hyperlink r:id="rId10" w:history="1">
        <w:r w:rsidRPr="00B10273">
          <w:rPr>
            <w:rStyle w:val="Hypertextovodkaz"/>
            <w:rFonts w:ascii="Arial" w:hAnsi="Arial" w:cs="Arial"/>
            <w:sz w:val="22"/>
            <w:szCs w:val="22"/>
          </w:rPr>
          <w:t>lenka.svobodova@ceproas.cz</w:t>
        </w:r>
      </w:hyperlink>
      <w:r w:rsidRPr="00B10273">
        <w:rPr>
          <w:rFonts w:ascii="Arial" w:hAnsi="Arial" w:cs="Arial"/>
          <w:sz w:val="22"/>
          <w:szCs w:val="22"/>
        </w:rPr>
        <w:t>, tel.: +420 221 968 258</w:t>
      </w:r>
    </w:p>
    <w:p w:rsidR="008A2ACB" w:rsidRPr="00B10273" w:rsidRDefault="008A2ACB" w:rsidP="008A2ACB">
      <w:pPr>
        <w:rPr>
          <w:rFonts w:ascii="Arial" w:hAnsi="Arial" w:cs="Arial"/>
          <w:b/>
          <w:sz w:val="22"/>
          <w:szCs w:val="22"/>
        </w:rPr>
      </w:pPr>
    </w:p>
    <w:p w:rsidR="008A2ACB" w:rsidRPr="002B6866" w:rsidRDefault="008A2ACB" w:rsidP="008A2ACB">
      <w:pPr>
        <w:rPr>
          <w:rFonts w:ascii="Arial" w:hAnsi="Arial" w:cs="Arial"/>
        </w:rPr>
      </w:pPr>
    </w:p>
    <w:p w:rsidR="00576E0D" w:rsidRPr="00ED3C18" w:rsidRDefault="00576E0D" w:rsidP="008A2ACB">
      <w:pPr>
        <w:rPr>
          <w:sz w:val="22"/>
          <w:szCs w:val="22"/>
        </w:rPr>
      </w:pPr>
    </w:p>
    <w:sectPr w:rsidR="00576E0D" w:rsidRPr="00ED3C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4D" w:rsidRDefault="00C4034D">
      <w:r>
        <w:separator/>
      </w:r>
    </w:p>
  </w:endnote>
  <w:endnote w:type="continuationSeparator" w:id="0">
    <w:p w:rsidR="00C4034D" w:rsidRDefault="00C4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FranklinGothicCE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8B" w:rsidRDefault="00E210FA">
    <w:pPr>
      <w:pStyle w:val="Zpat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260985</wp:posOffset>
              </wp:positionH>
              <wp:positionV relativeFrom="line">
                <wp:posOffset>-252095</wp:posOffset>
              </wp:positionV>
              <wp:extent cx="5486400" cy="694055"/>
              <wp:effectExtent l="3810" t="0" r="0" b="0"/>
              <wp:wrapNone/>
              <wp:docPr id="5" name="Plát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253" cy="571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ČEPRO, a. s.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Dělnická 12, č. p. 213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170 04 Praha 7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Česká republika</w:t>
                            </w:r>
                          </w:p>
                          <w:p w:rsidR="00D3108B" w:rsidRPr="00DA1A67" w:rsidRDefault="00D3108B" w:rsidP="00D3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821918" y="15555"/>
                          <a:ext cx="1370667" cy="57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Zapsáno v Obchodním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rejstříku vedeném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Městským soudem v Praze,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oddíl B, vložka 2341.</w:t>
                            </w:r>
                          </w:p>
                          <w:p w:rsidR="00D3108B" w:rsidRPr="00DA1A67" w:rsidRDefault="00D3108B" w:rsidP="00D3108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335599" y="15555"/>
                          <a:ext cx="1400513" cy="57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Tel.: +420 221 968 111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Fax: +420 221 968 300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E-mail: ceproas@ceproas.cz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http://www.ceproas.cz</w:t>
                            </w:r>
                          </w:p>
                          <w:p w:rsidR="00D3108B" w:rsidRDefault="00D3108B" w:rsidP="00D31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273169" y="15555"/>
                          <a:ext cx="1027441" cy="57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IČ: 60193531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  <w:r w:rsidRPr="00D859DD"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  <w:t>DIČ: CZ60193531</w:t>
                            </w: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</w:p>
                          <w:p w:rsidR="00D3108B" w:rsidRPr="00D859DD" w:rsidRDefault="00D3108B" w:rsidP="00D3108B">
                            <w:pPr>
                              <w:pBdr>
                                <w:left w:val="single" w:sz="4" w:space="4" w:color="007759"/>
                              </w:pBdr>
                              <w:rPr>
                                <w:rFonts w:ascii="ITCFranklinGothicCE-Book" w:hAnsi="ITCFranklinGothicCE-Book" w:cs="ITCFranklinGothicCE-Book"/>
                                <w:color w:val="007759"/>
                                <w:sz w:val="14"/>
                                <w:szCs w:val="14"/>
                              </w:rPr>
                            </w:pPr>
                          </w:p>
                          <w:p w:rsidR="00D3108B" w:rsidRDefault="00D3108B" w:rsidP="00D31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Plátno 1" o:spid="_x0000_s1026" editas="canvas" style="position:absolute;margin-left:20.55pt;margin-top:-19.85pt;width:6in;height:54.65pt;z-index:251657728;mso-position-horizontal-relative:margin;mso-position-vertical-relative:line" coordsize="54864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D7SgMAAG0QAAAOAAAAZHJzL2Uyb0RvYy54bWzsWFtvmzAUfp+0/2D5PeUSCAGVVG26TJO6&#10;i9TuBzhggjWwme2EdNP++44NyWjTStMulSKFB+LL4fg7Pt/nS84vtnWFNlQqJniKvTMXI8ozkTO+&#10;SvHnu8VoipHShOekEpym+J4qfDF7/eq8bRLqi1JUOZUInHCVtE2KS62bxHFUVtKaqDPRUA6dhZA1&#10;0VCVKyeXpAXvdeX4rjtxWiHzRoqMKgWt110nnln/RUEz/bEoFNWoSjFg0/Yt7Xtp3s7snCQrSZqS&#10;ZT0M8gcoasI4DLp3dU00QWvJDlzVLJNCiUKfZaJ2RFGwjNoYIBrPfRTNnPANUTaYDGZnBxBK/9Dv&#10;cmVwc7FgVQWz4YD3xLSZ3xbyQ013xR8adS3WtrdpG0igavapVH8H8bYkDbWRqyT7sPkkEcuBXxhx&#10;UgON7uhWoyuxRWOTQTM2GN02YKa30GwsDWDV3Ijsi0JczEvCV/RSStGWlOSAzjNfQgT7Tzs/yjhZ&#10;tu9FDsOQtRbW0baQtXEICUPgHZh0v2ePgZKZIf0w8sMxRhn0hZE3HU/sECTZfd1Ipd9SUSNTSLEE&#10;dlrvZHOjtEFDkp2JRS8qlpu02IpcLeeVRBsCTF7Yp/euhmZPJ4okABLGMI4MXMvM77HnB+6VH48W&#10;k2k0ChZBOIojdzpyvfgqnrhBHFwvfhiAXpCULM8pv2Gc7lTiBb+X4V6vHb+tTlCb4jj0wy5FQ/Rq&#10;GKRrn6eCrJmGRaNidYqneyOSmMS+4TlMJEk0YVVXdh7Ct7MMc7D7tbNiaWAy33FAb5fbnlZLkd8D&#10;IaSAfEHWYaWDQinkN4xaWDVSrL6uiaQYVe84kCr2gsAsM7YSAB+gIoc9y2EP4Rm4SrHGqCvOdbc0&#10;rRvJViWM1NGYi0sgYsEsRwxjO1Q9fUF1Hez/Lj//QH6BSc9AQy8jP3/qe7EHOwsIzQvhMSg6Zlsh&#10;jiN3Mol2QgRZRj2LTkLkq2MTYr/wn/R4uB3CXvNoO7RKeHE9euNxGMbxs3oMXDf09hvjSY/dqe9I&#10;N0arR3+37p/2x8HxNDjQoz0BvrgeAz8ae5Pn9ej6URDAWbo7qJ70ePx63F+DjkWP3dWxyewxvL9/&#10;m0vzsG7Pt7/+JZj9BAAA//8DAFBLAwQUAAYACAAAACEAFWD5DOIAAAAJAQAADwAAAGRycy9kb3du&#10;cmV2LnhtbEyPy07DMBBF90j8gzVI7Fo7PAIJcSoEQiyo2tKCxNKNTRwRj6PYTdK/77CC5cwc3Tm3&#10;WEyuZYPpQ+NRQjIXwAxWXjdYS/jYvczugYWoUKvWo5FwNAEW5flZoXLtR3w3wzbWjEIw5EqCjbHL&#10;OQ+VNU6Fue8M0u3b905FGvua616NFO5afiVEyp1qkD5Y1Zkna6qf7cFJWH+tnj/fNmu7EePyuHsd&#10;Kr7KllJeXkyPD8CimeIfDL/6pA4lOe39AXVgrYSbJCFSwuw6uwNGQCZuabOXkGYp8LLg/xuUJwAA&#10;AP//AwBQSwECLQAUAAYACAAAACEAtoM4kv4AAADhAQAAEwAAAAAAAAAAAAAAAAAAAAAAW0NvbnRl&#10;bnRfVHlwZXNdLnhtbFBLAQItABQABgAIAAAAIQA4/SH/1gAAAJQBAAALAAAAAAAAAAAAAAAAAC8B&#10;AABfcmVscy8ucmVsc1BLAQItABQABgAIAAAAIQDm4WD7SgMAAG0QAAAOAAAAAAAAAAAAAAAAAC4C&#10;AABkcnMvZTJvRG9jLnhtbFBLAQItABQABgAIAAAAIQAVYPkM4gAAAAkBAAAPAAAAAAAAAAAAAAAA&#10;AKQFAABkcnMvZG93bnJldi54bWxQSwUGAAAAAAQABADzAAAAs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6940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2572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ČEPRO, a. s.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Dělnická 12, č. p. 213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170 04 Praha 7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Česká republika</w:t>
                      </w:r>
                    </w:p>
                    <w:p w:rsidR="00D3108B" w:rsidRPr="00DA1A67" w:rsidRDefault="00D3108B" w:rsidP="00D3108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28219;top:155;width:13706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Zapsáno v Obchodním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rejstříku vedeném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Městským soudem v Praze,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oddíl B, vložka 2341.</w:t>
                      </w:r>
                    </w:p>
                    <w:p w:rsidR="00D3108B" w:rsidRPr="00DA1A67" w:rsidRDefault="00D3108B" w:rsidP="00D3108B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  <v:shape id="Text Box 5" o:spid="_x0000_s1030" type="#_x0000_t202" style="position:absolute;left:13355;top:155;width:14006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Tel.: +420 221 968 111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Fax: +420 221 968 300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E-mail: ceproas@ceproas.cz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http://www.ceproas.cz</w:t>
                      </w:r>
                    </w:p>
                    <w:p w:rsidR="00D3108B" w:rsidRDefault="00D3108B" w:rsidP="00D3108B"/>
                  </w:txbxContent>
                </v:textbox>
              </v:shape>
              <v:shape id="Text Box 6" o:spid="_x0000_s1031" type="#_x0000_t202" style="position:absolute;left:42731;top:155;width:10275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autoSpaceDE w:val="0"/>
                        <w:autoSpaceDN w:val="0"/>
                        <w:adjustRightInd w:val="0"/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IČ: 60193531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  <w:r w:rsidRPr="00D859DD"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  <w:t>DIČ: CZ60193531</w:t>
                      </w: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</w:p>
                    <w:p w:rsidR="00D3108B" w:rsidRPr="00D859DD" w:rsidRDefault="00D3108B" w:rsidP="00D3108B">
                      <w:pPr>
                        <w:pBdr>
                          <w:left w:val="single" w:sz="4" w:space="4" w:color="007759"/>
                        </w:pBdr>
                        <w:rPr>
                          <w:rFonts w:ascii="ITCFranklinGothicCE-Book" w:hAnsi="ITCFranklinGothicCE-Book" w:cs="ITCFranklinGothicCE-Book"/>
                          <w:color w:val="007759"/>
                          <w:sz w:val="14"/>
                          <w:szCs w:val="14"/>
                        </w:rPr>
                      </w:pPr>
                    </w:p>
                    <w:p w:rsidR="00D3108B" w:rsidRDefault="00D3108B" w:rsidP="00D3108B"/>
                  </w:txbxContent>
                </v:textbox>
              </v:shape>
              <w10:wrap anchorx="margin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4D" w:rsidRDefault="00C4034D">
      <w:r>
        <w:separator/>
      </w:r>
    </w:p>
  </w:footnote>
  <w:footnote w:type="continuationSeparator" w:id="0">
    <w:p w:rsidR="00C4034D" w:rsidRDefault="00C4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4D4"/>
    <w:multiLevelType w:val="hybridMultilevel"/>
    <w:tmpl w:val="6EC26D02"/>
    <w:lvl w:ilvl="0" w:tplc="3B28B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5E1"/>
    <w:multiLevelType w:val="hybridMultilevel"/>
    <w:tmpl w:val="B646188C"/>
    <w:lvl w:ilvl="0" w:tplc="06A2E6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FE2"/>
    <w:multiLevelType w:val="hybridMultilevel"/>
    <w:tmpl w:val="A4B08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98E"/>
    <w:multiLevelType w:val="hybridMultilevel"/>
    <w:tmpl w:val="23C0E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7505E"/>
    <w:multiLevelType w:val="hybridMultilevel"/>
    <w:tmpl w:val="E5B0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01B7"/>
    <w:multiLevelType w:val="hybridMultilevel"/>
    <w:tmpl w:val="CB5E935E"/>
    <w:lvl w:ilvl="0" w:tplc="576E7A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32A"/>
    <w:rsid w:val="00066236"/>
    <w:rsid w:val="00071144"/>
    <w:rsid w:val="000B068C"/>
    <w:rsid w:val="000B610F"/>
    <w:rsid w:val="000C348E"/>
    <w:rsid w:val="000D064C"/>
    <w:rsid w:val="000E1845"/>
    <w:rsid w:val="001659B1"/>
    <w:rsid w:val="0017205F"/>
    <w:rsid w:val="00176BE6"/>
    <w:rsid w:val="0018645E"/>
    <w:rsid w:val="001F2583"/>
    <w:rsid w:val="00232C83"/>
    <w:rsid w:val="002546F1"/>
    <w:rsid w:val="002A26E3"/>
    <w:rsid w:val="002A6F10"/>
    <w:rsid w:val="002D2E20"/>
    <w:rsid w:val="003232C4"/>
    <w:rsid w:val="003260D8"/>
    <w:rsid w:val="0042153C"/>
    <w:rsid w:val="004454DC"/>
    <w:rsid w:val="00445A03"/>
    <w:rsid w:val="00466745"/>
    <w:rsid w:val="00466911"/>
    <w:rsid w:val="004969CD"/>
    <w:rsid w:val="004D14C7"/>
    <w:rsid w:val="004E688E"/>
    <w:rsid w:val="00517460"/>
    <w:rsid w:val="005478C3"/>
    <w:rsid w:val="00576E0D"/>
    <w:rsid w:val="00634485"/>
    <w:rsid w:val="0066454E"/>
    <w:rsid w:val="006F24F8"/>
    <w:rsid w:val="006F5BC2"/>
    <w:rsid w:val="007121E7"/>
    <w:rsid w:val="007253EB"/>
    <w:rsid w:val="007826FC"/>
    <w:rsid w:val="007B5365"/>
    <w:rsid w:val="00811BB1"/>
    <w:rsid w:val="00887E59"/>
    <w:rsid w:val="008A2ACB"/>
    <w:rsid w:val="008D0039"/>
    <w:rsid w:val="008E2D8A"/>
    <w:rsid w:val="008F437A"/>
    <w:rsid w:val="009123C3"/>
    <w:rsid w:val="00925D76"/>
    <w:rsid w:val="009320AA"/>
    <w:rsid w:val="009B3F49"/>
    <w:rsid w:val="00A211A4"/>
    <w:rsid w:val="00A365DC"/>
    <w:rsid w:val="00A72412"/>
    <w:rsid w:val="00AA63DE"/>
    <w:rsid w:val="00AB7540"/>
    <w:rsid w:val="00B10273"/>
    <w:rsid w:val="00B306DB"/>
    <w:rsid w:val="00B47380"/>
    <w:rsid w:val="00B7264F"/>
    <w:rsid w:val="00B73C24"/>
    <w:rsid w:val="00B82283"/>
    <w:rsid w:val="00BA6D1A"/>
    <w:rsid w:val="00BA7A52"/>
    <w:rsid w:val="00BD0838"/>
    <w:rsid w:val="00BE477D"/>
    <w:rsid w:val="00BE532A"/>
    <w:rsid w:val="00BE61B2"/>
    <w:rsid w:val="00C05256"/>
    <w:rsid w:val="00C25EE1"/>
    <w:rsid w:val="00C4034D"/>
    <w:rsid w:val="00C4063D"/>
    <w:rsid w:val="00C42DD6"/>
    <w:rsid w:val="00CF6277"/>
    <w:rsid w:val="00D3108B"/>
    <w:rsid w:val="00D31F36"/>
    <w:rsid w:val="00DA09AB"/>
    <w:rsid w:val="00DA4378"/>
    <w:rsid w:val="00DB0A29"/>
    <w:rsid w:val="00E04832"/>
    <w:rsid w:val="00E10625"/>
    <w:rsid w:val="00E210FA"/>
    <w:rsid w:val="00E2219D"/>
    <w:rsid w:val="00ED3C18"/>
    <w:rsid w:val="00ED5318"/>
    <w:rsid w:val="00ED78E7"/>
    <w:rsid w:val="00EE4913"/>
    <w:rsid w:val="00EF0CB7"/>
    <w:rsid w:val="00EF4877"/>
    <w:rsid w:val="00F12C16"/>
    <w:rsid w:val="00F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67875"/>
  <w15:docId w15:val="{6A3DE939-F9C8-41C5-8E99-3F832DE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473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310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108B"/>
    <w:pPr>
      <w:tabs>
        <w:tab w:val="center" w:pos="4536"/>
        <w:tab w:val="right" w:pos="9072"/>
      </w:tabs>
    </w:pPr>
  </w:style>
  <w:style w:type="character" w:customStyle="1" w:styleId="bold1">
    <w:name w:val="bold1"/>
    <w:rsid w:val="00634485"/>
    <w:rPr>
      <w:b/>
      <w:bCs/>
    </w:rPr>
  </w:style>
  <w:style w:type="character" w:styleId="Siln">
    <w:name w:val="Strong"/>
    <w:uiPriority w:val="22"/>
    <w:qFormat/>
    <w:rsid w:val="00634485"/>
    <w:rPr>
      <w:b/>
      <w:bCs/>
    </w:rPr>
  </w:style>
  <w:style w:type="paragraph" w:styleId="Bezmezer">
    <w:name w:val="No Spacing"/>
    <w:uiPriority w:val="1"/>
    <w:qFormat/>
    <w:rsid w:val="00A724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78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478C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BE477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A09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576E0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6E0D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uzycepr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nka.svobodova@cepro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ro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ČEPRO,a.s.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Köhlerová</dc:creator>
  <cp:lastModifiedBy>Autor</cp:lastModifiedBy>
  <cp:revision>4</cp:revision>
  <cp:lastPrinted>2018-01-10T11:14:00Z</cp:lastPrinted>
  <dcterms:created xsi:type="dcterms:W3CDTF">2018-02-01T13:51:00Z</dcterms:created>
  <dcterms:modified xsi:type="dcterms:W3CDTF">2018-02-01T13:57:00Z</dcterms:modified>
</cp:coreProperties>
</file>